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Layout w:type="fixed"/>
        <w:tblCellMar>
          <w:left w:w="57" w:type="dxa"/>
          <w:right w:w="57" w:type="dxa"/>
        </w:tblCellMar>
        <w:tblLook w:val="04A0" w:firstRow="1" w:lastRow="0" w:firstColumn="1" w:lastColumn="0" w:noHBand="0" w:noVBand="1"/>
      </w:tblPr>
      <w:tblGrid>
        <w:gridCol w:w="11199"/>
      </w:tblGrid>
      <w:tr w:rsidR="000126B0" w:rsidRPr="00C36678" w:rsidTr="0063618A">
        <w:trPr>
          <w:trHeight w:hRule="exact" w:val="5670"/>
        </w:trPr>
        <w:tc>
          <w:tcPr>
            <w:tcW w:w="11199" w:type="dxa"/>
            <w:shd w:val="clear" w:color="auto" w:fill="auto"/>
            <w:vAlign w:val="center"/>
          </w:tcPr>
          <w:p w:rsidR="000126B0" w:rsidRPr="00C36678" w:rsidRDefault="003F4216" w:rsidP="00664FC7">
            <w:pPr>
              <w:pStyle w:val="Body-Instructions-Text"/>
              <w:spacing w:before="60"/>
              <w:jc w:val="center"/>
              <w:rPr>
                <w:rFonts w:eastAsia="Times New Roman"/>
              </w:rPr>
            </w:pPr>
            <w:bookmarkStart w:id="0" w:name="_GoBack"/>
            <w:bookmarkEnd w:id="0"/>
            <w:r w:rsidRPr="003F4216">
              <w:rPr>
                <w:rFonts w:eastAsia="Times New Roman"/>
                <w:noProof/>
                <w:lang w:eastAsia="zh-TW"/>
              </w:rPr>
              <w:drawing>
                <wp:inline distT="0" distB="0" distL="0" distR="0">
                  <wp:extent cx="2457450" cy="243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432050"/>
                          </a:xfrm>
                          <a:prstGeom prst="rect">
                            <a:avLst/>
                          </a:prstGeom>
                          <a:noFill/>
                          <a:ln>
                            <a:noFill/>
                          </a:ln>
                        </pic:spPr>
                      </pic:pic>
                    </a:graphicData>
                  </a:graphic>
                </wp:inline>
              </w:drawing>
            </w:r>
          </w:p>
        </w:tc>
      </w:tr>
      <w:tr w:rsidR="000126B0" w:rsidRPr="00C36678" w:rsidTr="0063618A">
        <w:trPr>
          <w:trHeight w:hRule="exact" w:val="2268"/>
        </w:trPr>
        <w:tc>
          <w:tcPr>
            <w:tcW w:w="11199" w:type="dxa"/>
            <w:shd w:val="clear" w:color="auto" w:fill="auto"/>
          </w:tcPr>
          <w:p w:rsidR="000126B0" w:rsidRPr="00C36678" w:rsidRDefault="000126B0" w:rsidP="00241009">
            <w:pPr>
              <w:pStyle w:val="Cover-Header1"/>
              <w:spacing w:after="60"/>
            </w:pPr>
            <w:r w:rsidRPr="00211E08">
              <w:rPr>
                <w:noProof/>
              </w:rPr>
              <w:t>Clifford Park Special School</w:t>
            </w:r>
          </w:p>
        </w:tc>
      </w:tr>
      <w:tr w:rsidR="000126B0" w:rsidRPr="00C36678" w:rsidTr="0063618A">
        <w:tc>
          <w:tcPr>
            <w:tcW w:w="11199" w:type="dxa"/>
            <w:shd w:val="clear" w:color="auto" w:fill="auto"/>
            <w:vAlign w:val="center"/>
          </w:tcPr>
          <w:p w:rsidR="000126B0" w:rsidRPr="00C36678" w:rsidRDefault="000126B0" w:rsidP="0063618A">
            <w:pPr>
              <w:pStyle w:val="Cover-AR"/>
            </w:pPr>
            <w:r w:rsidRPr="00C36678">
              <w:t>ANNUAL REPORT</w:t>
            </w:r>
          </w:p>
        </w:tc>
      </w:tr>
      <w:tr w:rsidR="000126B0" w:rsidRPr="00C36678" w:rsidTr="0063618A">
        <w:tc>
          <w:tcPr>
            <w:tcW w:w="11199" w:type="dxa"/>
            <w:shd w:val="clear" w:color="auto" w:fill="003D69"/>
            <w:vAlign w:val="center"/>
          </w:tcPr>
          <w:p w:rsidR="000126B0" w:rsidRPr="00C36678" w:rsidRDefault="000126B0" w:rsidP="00DF75DD">
            <w:pPr>
              <w:pStyle w:val="Cover-Year"/>
            </w:pPr>
            <w:r w:rsidRPr="00C36678">
              <w:t>2018</w:t>
            </w:r>
          </w:p>
        </w:tc>
      </w:tr>
      <w:tr w:rsidR="000126B0" w:rsidRPr="00C36678" w:rsidTr="0063618A">
        <w:tc>
          <w:tcPr>
            <w:tcW w:w="11199" w:type="dxa"/>
            <w:shd w:val="clear" w:color="auto" w:fill="003D69"/>
            <w:vAlign w:val="center"/>
          </w:tcPr>
          <w:p w:rsidR="000126B0" w:rsidRPr="00C36678" w:rsidRDefault="000126B0" w:rsidP="00DF75DD">
            <w:pPr>
              <w:pStyle w:val="Cover-QldStateSchRept"/>
            </w:pPr>
            <w:r w:rsidRPr="00C36678">
              <w:t>Queensland State School Reporting</w:t>
            </w:r>
          </w:p>
        </w:tc>
      </w:tr>
      <w:tr w:rsidR="000126B0" w:rsidRPr="00C36678" w:rsidTr="0063618A">
        <w:tc>
          <w:tcPr>
            <w:tcW w:w="11199" w:type="dxa"/>
            <w:shd w:val="clear" w:color="auto" w:fill="auto"/>
            <w:vAlign w:val="center"/>
          </w:tcPr>
          <w:p w:rsidR="000126B0" w:rsidRDefault="000126B0" w:rsidP="00EA09C9">
            <w:pPr>
              <w:pStyle w:val="Cover-Header3"/>
              <w:rPr>
                <w:sz w:val="44"/>
                <w:szCs w:val="44"/>
              </w:rPr>
            </w:pPr>
          </w:p>
          <w:p w:rsidR="000126B0" w:rsidRDefault="000126B0" w:rsidP="00EA09C9">
            <w:pPr>
              <w:pStyle w:val="Cover-Header3"/>
              <w:rPr>
                <w:sz w:val="44"/>
                <w:szCs w:val="44"/>
                <w:lang w:eastAsia="en-AU"/>
              </w:rPr>
            </w:pPr>
            <w:r>
              <w:rPr>
                <w:sz w:val="44"/>
                <w:szCs w:val="44"/>
              </w:rPr>
              <w:t xml:space="preserve">Every student succeeding </w:t>
            </w:r>
          </w:p>
          <w:p w:rsidR="000126B0" w:rsidRDefault="000126B0" w:rsidP="00EA09C9">
            <w:pPr>
              <w:pStyle w:val="Cover-Header3"/>
              <w:rPr>
                <w:sz w:val="28"/>
                <w:szCs w:val="28"/>
              </w:rPr>
            </w:pPr>
            <w:r>
              <w:rPr>
                <w:sz w:val="28"/>
                <w:szCs w:val="28"/>
              </w:rPr>
              <w:t xml:space="preserve">State Schools Strategy </w:t>
            </w:r>
          </w:p>
          <w:p w:rsidR="000126B0" w:rsidRPr="00C36678" w:rsidRDefault="000126B0" w:rsidP="00EA09C9">
            <w:pPr>
              <w:pStyle w:val="Cover-Header4"/>
            </w:pPr>
            <w:r>
              <w:rPr>
                <w:sz w:val="28"/>
                <w:szCs w:val="28"/>
              </w:rPr>
              <w:t>Department of Education</w:t>
            </w:r>
          </w:p>
        </w:tc>
      </w:tr>
    </w:tbl>
    <w:p w:rsidR="000126B0" w:rsidRPr="00C36678" w:rsidRDefault="000126B0" w:rsidP="000C3B7B">
      <w:pPr>
        <w:pStyle w:val="Body-Text"/>
      </w:pPr>
    </w:p>
    <w:p w:rsidR="000126B0" w:rsidRPr="00C36678" w:rsidRDefault="000126B0" w:rsidP="00556401">
      <w:pPr>
        <w:pStyle w:val="Body-Text"/>
      </w:pPr>
    </w:p>
    <w:p w:rsidR="000126B0" w:rsidRPr="00C36678" w:rsidRDefault="000126B0" w:rsidP="00DF75DD">
      <w:pPr>
        <w:sectPr w:rsidR="000126B0" w:rsidRPr="00C36678" w:rsidSect="000126B0">
          <w:footerReference w:type="default" r:id="rId9"/>
          <w:pgSz w:w="11906" w:h="16838"/>
          <w:pgMar w:top="397" w:right="397" w:bottom="397" w:left="397" w:header="567" w:footer="567" w:gutter="0"/>
          <w:pgNumType w:start="1"/>
          <w:cols w:space="709"/>
          <w:docGrid w:linePitch="360"/>
        </w:sectPr>
      </w:pPr>
    </w:p>
    <w:p w:rsidR="000126B0" w:rsidRPr="00C36678" w:rsidRDefault="000126B0" w:rsidP="008E4FAB">
      <w:pPr>
        <w:pStyle w:val="Body-Instructions-Text"/>
        <w:tabs>
          <w:tab w:val="left" w:pos="284"/>
        </w:tabs>
        <w:ind w:left="284" w:hanging="284"/>
      </w:pPr>
    </w:p>
    <w:tbl>
      <w:tblPr>
        <w:tblW w:w="4911" w:type="pct"/>
        <w:tblInd w:w="80" w:type="dxa"/>
        <w:shd w:val="clear" w:color="auto" w:fill="2B5CAA"/>
        <w:tblLayout w:type="fixed"/>
        <w:tblLook w:val="0000" w:firstRow="0" w:lastRow="0" w:firstColumn="0" w:lastColumn="0" w:noHBand="0" w:noVBand="0"/>
      </w:tblPr>
      <w:tblGrid>
        <w:gridCol w:w="9466"/>
      </w:tblGrid>
      <w:tr w:rsidR="000126B0" w:rsidRPr="00C36678" w:rsidTr="0063618A">
        <w:tc>
          <w:tcPr>
            <w:tcW w:w="5000" w:type="pct"/>
            <w:shd w:val="clear" w:color="auto" w:fill="003D69"/>
          </w:tcPr>
          <w:p w:rsidR="000126B0" w:rsidRPr="00C36678" w:rsidRDefault="000126B0" w:rsidP="0063618A">
            <w:pPr>
              <w:pStyle w:val="Heading1-AR"/>
            </w:pPr>
            <w:r w:rsidRPr="00C36678">
              <w:t>Contact information</w:t>
            </w:r>
          </w:p>
        </w:tc>
      </w:tr>
      <w:tr w:rsidR="000126B0" w:rsidRPr="00C36678" w:rsidTr="001D52BA">
        <w:tc>
          <w:tcPr>
            <w:tcW w:w="5000" w:type="pct"/>
            <w:shd w:val="clear" w:color="auto" w:fill="DDDDDD"/>
          </w:tcPr>
          <w:p w:rsidR="000126B0" w:rsidRPr="00C36678" w:rsidRDefault="000126B0" w:rsidP="0063618A">
            <w:pPr>
              <w:pStyle w:val="Heading12-AR"/>
            </w:pPr>
          </w:p>
        </w:tc>
      </w:tr>
    </w:tbl>
    <w:p w:rsidR="000126B0" w:rsidRPr="00C36678" w:rsidRDefault="000126B0" w:rsidP="00D44D24">
      <w:pPr>
        <w:pStyle w:val="Body-Text"/>
      </w:pPr>
    </w:p>
    <w:tbl>
      <w:tblPr>
        <w:tblW w:w="9645" w:type="dxa"/>
        <w:tblInd w:w="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2546"/>
        <w:gridCol w:w="7099"/>
      </w:tblGrid>
      <w:tr w:rsidR="000126B0" w:rsidRPr="00C36678" w:rsidTr="00EC022A">
        <w:trPr>
          <w:cantSplit/>
          <w:trHeight w:val="353"/>
        </w:trPr>
        <w:tc>
          <w:tcPr>
            <w:tcW w:w="1320" w:type="pct"/>
            <w:shd w:val="clear" w:color="auto" w:fill="C1ECFF"/>
            <w:vAlign w:val="center"/>
          </w:tcPr>
          <w:p w:rsidR="000126B0" w:rsidRPr="00C36678" w:rsidRDefault="000126B0" w:rsidP="00F224E9">
            <w:pPr>
              <w:pStyle w:val="Body-Table-Heading"/>
            </w:pPr>
            <w:r w:rsidRPr="00C36678">
              <w:t>Postal address</w:t>
            </w:r>
          </w:p>
        </w:tc>
        <w:tc>
          <w:tcPr>
            <w:tcW w:w="3680" w:type="pct"/>
            <w:vAlign w:val="center"/>
          </w:tcPr>
          <w:p w:rsidR="000126B0" w:rsidRPr="00C36678" w:rsidRDefault="000126B0" w:rsidP="00797F4A">
            <w:pPr>
              <w:pStyle w:val="Body-Table-Text"/>
              <w:rPr>
                <w:rFonts w:eastAsia="Meiryo"/>
              </w:rPr>
            </w:pPr>
            <w:r w:rsidRPr="00211E08">
              <w:t>Rob Street Toowoomba 4350</w:t>
            </w:r>
          </w:p>
        </w:tc>
      </w:tr>
      <w:tr w:rsidR="000126B0" w:rsidRPr="00C36678" w:rsidTr="00EC022A">
        <w:trPr>
          <w:cantSplit/>
          <w:trHeight w:val="353"/>
        </w:trPr>
        <w:tc>
          <w:tcPr>
            <w:tcW w:w="1320" w:type="pct"/>
            <w:shd w:val="clear" w:color="auto" w:fill="C1ECFF"/>
            <w:vAlign w:val="center"/>
          </w:tcPr>
          <w:p w:rsidR="000126B0" w:rsidRPr="00C36678" w:rsidRDefault="000126B0" w:rsidP="00F224E9">
            <w:pPr>
              <w:pStyle w:val="Body-Table-Heading"/>
            </w:pPr>
            <w:r w:rsidRPr="00C36678">
              <w:t>Phone</w:t>
            </w:r>
          </w:p>
        </w:tc>
        <w:tc>
          <w:tcPr>
            <w:tcW w:w="3680" w:type="pct"/>
            <w:vAlign w:val="center"/>
          </w:tcPr>
          <w:p w:rsidR="000126B0" w:rsidRPr="00C36678" w:rsidRDefault="000126B0" w:rsidP="00797F4A">
            <w:pPr>
              <w:pStyle w:val="Body-Table-Text"/>
              <w:rPr>
                <w:rFonts w:eastAsia="Meiryo"/>
              </w:rPr>
            </w:pPr>
            <w:r w:rsidRPr="00211E08">
              <w:rPr>
                <w:sz w:val="16"/>
                <w:szCs w:val="16"/>
              </w:rPr>
              <w:t>(07) 4614 5333</w:t>
            </w:r>
          </w:p>
        </w:tc>
      </w:tr>
      <w:tr w:rsidR="000126B0" w:rsidRPr="00C36678" w:rsidTr="00EC022A">
        <w:trPr>
          <w:cantSplit/>
          <w:trHeight w:val="353"/>
        </w:trPr>
        <w:tc>
          <w:tcPr>
            <w:tcW w:w="1320" w:type="pct"/>
            <w:shd w:val="clear" w:color="auto" w:fill="C1ECFF"/>
            <w:vAlign w:val="center"/>
          </w:tcPr>
          <w:p w:rsidR="000126B0" w:rsidRPr="00C36678" w:rsidRDefault="000126B0" w:rsidP="00F224E9">
            <w:pPr>
              <w:pStyle w:val="Body-Table-Heading"/>
            </w:pPr>
            <w:r w:rsidRPr="00C36678">
              <w:t>Fax</w:t>
            </w:r>
          </w:p>
        </w:tc>
        <w:tc>
          <w:tcPr>
            <w:tcW w:w="3680" w:type="pct"/>
            <w:vAlign w:val="center"/>
          </w:tcPr>
          <w:p w:rsidR="000126B0" w:rsidRPr="00C36678" w:rsidRDefault="000126B0" w:rsidP="00797F4A">
            <w:pPr>
              <w:pStyle w:val="Body-Table-Text"/>
              <w:rPr>
                <w:color w:val="FF0000"/>
                <w:u w:color="FF0000"/>
              </w:rPr>
            </w:pPr>
            <w:r w:rsidRPr="00211E08">
              <w:rPr>
                <w:sz w:val="16"/>
                <w:szCs w:val="16"/>
              </w:rPr>
              <w:t>(07) 4633 4726</w:t>
            </w:r>
          </w:p>
        </w:tc>
      </w:tr>
      <w:tr w:rsidR="000126B0" w:rsidRPr="00C36678" w:rsidTr="00EC022A">
        <w:trPr>
          <w:cantSplit/>
          <w:trHeight w:val="353"/>
        </w:trPr>
        <w:tc>
          <w:tcPr>
            <w:tcW w:w="1320" w:type="pct"/>
            <w:shd w:val="clear" w:color="auto" w:fill="C1ECFF"/>
            <w:vAlign w:val="center"/>
          </w:tcPr>
          <w:p w:rsidR="000126B0" w:rsidRPr="00C36678" w:rsidRDefault="000126B0" w:rsidP="00F224E9">
            <w:pPr>
              <w:pStyle w:val="Body-Table-Heading"/>
            </w:pPr>
            <w:r w:rsidRPr="00C36678">
              <w:t>Email</w:t>
            </w:r>
          </w:p>
        </w:tc>
        <w:tc>
          <w:tcPr>
            <w:tcW w:w="3680" w:type="pct"/>
            <w:vAlign w:val="center"/>
          </w:tcPr>
          <w:p w:rsidR="000126B0" w:rsidRPr="00C36678" w:rsidRDefault="000126B0" w:rsidP="00797F4A">
            <w:pPr>
              <w:pStyle w:val="Body-Table-Text"/>
              <w:rPr>
                <w:color w:val="FF0000"/>
                <w:u w:color="FF0000"/>
              </w:rPr>
            </w:pPr>
            <w:r w:rsidRPr="00211E08">
              <w:rPr>
                <w:sz w:val="16"/>
                <w:szCs w:val="16"/>
              </w:rPr>
              <w:t>principal@cliffordparkspecs.eq.edu.au</w:t>
            </w:r>
          </w:p>
        </w:tc>
      </w:tr>
      <w:tr w:rsidR="000126B0" w:rsidRPr="00C36678" w:rsidTr="00EC022A">
        <w:trPr>
          <w:cantSplit/>
          <w:trHeight w:val="353"/>
        </w:trPr>
        <w:tc>
          <w:tcPr>
            <w:tcW w:w="1320" w:type="pct"/>
            <w:shd w:val="clear" w:color="auto" w:fill="C1ECFF"/>
          </w:tcPr>
          <w:p w:rsidR="000126B0" w:rsidRPr="00C36678" w:rsidRDefault="000126B0" w:rsidP="00F224E9">
            <w:pPr>
              <w:pStyle w:val="Body-Table-Heading"/>
            </w:pPr>
            <w:r w:rsidRPr="00C36678">
              <w:t>Webpages</w:t>
            </w:r>
          </w:p>
        </w:tc>
        <w:tc>
          <w:tcPr>
            <w:tcW w:w="3680" w:type="pct"/>
            <w:vAlign w:val="center"/>
          </w:tcPr>
          <w:p w:rsidR="000126B0" w:rsidRPr="00C36678" w:rsidRDefault="000126B0" w:rsidP="00797F4A">
            <w:pPr>
              <w:pStyle w:val="Body-Table-Text"/>
              <w:rPr>
                <w:rFonts w:eastAsia="Meiryo"/>
              </w:rPr>
            </w:pPr>
            <w:r w:rsidRPr="00C36678">
              <w:rPr>
                <w:rFonts w:eastAsia="Meiryo"/>
              </w:rPr>
              <w:t>Additional information about Queensland state schools is located on:</w:t>
            </w:r>
          </w:p>
          <w:p w:rsidR="000126B0" w:rsidRPr="00C36678" w:rsidRDefault="000126B0" w:rsidP="00797F4A">
            <w:pPr>
              <w:pStyle w:val="Body-Table-Bullet"/>
              <w:rPr>
                <w:rFonts w:eastAsia="Meiryo"/>
              </w:rPr>
            </w:pPr>
            <w:r w:rsidRPr="00C36678">
              <w:rPr>
                <w:rFonts w:eastAsia="Meiryo"/>
              </w:rPr>
              <w:t xml:space="preserve">the </w:t>
            </w:r>
            <w:hyperlink r:id="rId10" w:history="1">
              <w:r w:rsidRPr="00C36678">
                <w:rPr>
                  <w:rStyle w:val="Hyperlink"/>
                  <w:rFonts w:eastAsia="Meiryo"/>
                  <w:i/>
                  <w:sz w:val="18"/>
                </w:rPr>
                <w:t xml:space="preserve">My </w:t>
              </w:r>
              <w:r w:rsidRPr="00C36678">
                <w:rPr>
                  <w:rStyle w:val="Hyperlink"/>
                  <w:rFonts w:eastAsia="SimSun"/>
                  <w:i/>
                  <w:sz w:val="18"/>
                </w:rPr>
                <w:t>School</w:t>
              </w:r>
            </w:hyperlink>
            <w:r w:rsidRPr="00C36678">
              <w:rPr>
                <w:rFonts w:eastAsia="Meiryo"/>
              </w:rPr>
              <w:t xml:space="preserve"> website</w:t>
            </w:r>
          </w:p>
          <w:p w:rsidR="000126B0" w:rsidRPr="00C36678" w:rsidRDefault="000126B0" w:rsidP="00797F4A">
            <w:pPr>
              <w:pStyle w:val="Body-Table-Bullet"/>
              <w:rPr>
                <w:rFonts w:eastAsia="Meiryo"/>
              </w:rPr>
            </w:pPr>
            <w:r w:rsidRPr="00C36678">
              <w:rPr>
                <w:rFonts w:eastAsia="Meiryo"/>
              </w:rPr>
              <w:t xml:space="preserve">the </w:t>
            </w:r>
            <w:hyperlink r:id="rId11" w:history="1">
              <w:r w:rsidRPr="00C36678">
                <w:rPr>
                  <w:rStyle w:val="Hyperlink"/>
                  <w:rFonts w:eastAsia="Meiryo"/>
                  <w:sz w:val="18"/>
                </w:rPr>
                <w:t>Queensland Government data</w:t>
              </w:r>
            </w:hyperlink>
            <w:r w:rsidRPr="00C36678">
              <w:rPr>
                <w:rFonts w:eastAsia="Meiryo"/>
              </w:rPr>
              <w:t xml:space="preserve"> website</w:t>
            </w:r>
          </w:p>
          <w:p w:rsidR="000126B0" w:rsidRPr="00C36678" w:rsidRDefault="000126B0" w:rsidP="00797F4A">
            <w:pPr>
              <w:pStyle w:val="Body-Table-Bullet"/>
              <w:rPr>
                <w:rFonts w:eastAsia="Meiryo"/>
              </w:rPr>
            </w:pPr>
            <w:r w:rsidRPr="00C36678">
              <w:rPr>
                <w:rFonts w:eastAsia="Meiryo"/>
              </w:rPr>
              <w:t xml:space="preserve">the Queensland Government </w:t>
            </w:r>
            <w:hyperlink r:id="rId12" w:history="1">
              <w:r w:rsidRPr="00C36678">
                <w:rPr>
                  <w:rStyle w:val="Hyperlink"/>
                  <w:rFonts w:eastAsia="Meiryo"/>
                  <w:sz w:val="18"/>
                </w:rPr>
                <w:t>schools directory</w:t>
              </w:r>
            </w:hyperlink>
            <w:r w:rsidRPr="00C36678">
              <w:rPr>
                <w:rFonts w:eastAsia="Meiryo"/>
              </w:rPr>
              <w:t xml:space="preserve"> website.</w:t>
            </w:r>
          </w:p>
        </w:tc>
      </w:tr>
      <w:tr w:rsidR="000126B0" w:rsidRPr="00C36678" w:rsidTr="00EC022A">
        <w:trPr>
          <w:cantSplit/>
          <w:trHeight w:val="353"/>
        </w:trPr>
        <w:tc>
          <w:tcPr>
            <w:tcW w:w="1320" w:type="pct"/>
            <w:shd w:val="clear" w:color="auto" w:fill="C1ECFF"/>
          </w:tcPr>
          <w:p w:rsidR="000126B0" w:rsidRPr="00C36678" w:rsidRDefault="000126B0" w:rsidP="00F224E9">
            <w:pPr>
              <w:pStyle w:val="Body-Table-Heading"/>
            </w:pPr>
            <w:r w:rsidRPr="00C36678">
              <w:t>Contact person</w:t>
            </w:r>
          </w:p>
        </w:tc>
        <w:tc>
          <w:tcPr>
            <w:tcW w:w="3680" w:type="pct"/>
            <w:vAlign w:val="center"/>
          </w:tcPr>
          <w:p w:rsidR="000126B0" w:rsidRPr="003F4216" w:rsidRDefault="003F4216" w:rsidP="0063618A">
            <w:pPr>
              <w:pStyle w:val="Body-Table-Text"/>
              <w:rPr>
                <w:color w:val="auto"/>
                <w:u w:color="FF0000"/>
              </w:rPr>
            </w:pPr>
            <w:r w:rsidRPr="003F4216">
              <w:rPr>
                <w:color w:val="auto"/>
                <w:u w:color="FF0000"/>
              </w:rPr>
              <w:t>Corina Searchield</w:t>
            </w:r>
          </w:p>
          <w:p w:rsidR="003F4216" w:rsidRPr="00C36678" w:rsidRDefault="003F4216" w:rsidP="0063618A">
            <w:pPr>
              <w:pStyle w:val="Body-Table-Text"/>
              <w:rPr>
                <w:rFonts w:eastAsia="Meiryo"/>
              </w:rPr>
            </w:pPr>
            <w:r w:rsidRPr="003F4216">
              <w:rPr>
                <w:color w:val="auto"/>
                <w:u w:color="FF0000"/>
              </w:rPr>
              <w:t>Principal</w:t>
            </w:r>
          </w:p>
        </w:tc>
      </w:tr>
    </w:tbl>
    <w:p w:rsidR="000126B0" w:rsidRDefault="000126B0" w:rsidP="00E60834">
      <w:pPr>
        <w:pStyle w:val="Body-Text"/>
      </w:pPr>
    </w:p>
    <w:p w:rsidR="000126B0" w:rsidRDefault="000126B0" w:rsidP="00E60834">
      <w:pPr>
        <w:pStyle w:val="Body-Text"/>
      </w:pPr>
    </w:p>
    <w:p w:rsidR="000126B0" w:rsidRPr="0030463A" w:rsidRDefault="000126B0" w:rsidP="0030463A">
      <w:pPr>
        <w:sectPr w:rsidR="000126B0" w:rsidRPr="0030463A" w:rsidSect="00674F88">
          <w:footerReference w:type="default" r:id="rId13"/>
          <w:pgSz w:w="11906" w:h="16838"/>
          <w:pgMar w:top="1134" w:right="1134" w:bottom="1134" w:left="1134" w:header="567" w:footer="567" w:gutter="0"/>
          <w:pgNumType w:start="1"/>
          <w:cols w:space="709"/>
          <w:docGrid w:linePitch="360"/>
        </w:sectPr>
      </w:pPr>
    </w:p>
    <w:tbl>
      <w:tblPr>
        <w:tblW w:w="4897" w:type="pct"/>
        <w:tblInd w:w="108" w:type="dxa"/>
        <w:shd w:val="clear" w:color="auto" w:fill="2B5CAA"/>
        <w:tblLayout w:type="fixed"/>
        <w:tblLook w:val="0000" w:firstRow="0" w:lastRow="0" w:firstColumn="0" w:lastColumn="0" w:noHBand="0" w:noVBand="0"/>
      </w:tblPr>
      <w:tblGrid>
        <w:gridCol w:w="9439"/>
      </w:tblGrid>
      <w:tr w:rsidR="000126B0" w:rsidRPr="00C36678" w:rsidTr="00EC022A">
        <w:tc>
          <w:tcPr>
            <w:tcW w:w="5000" w:type="pct"/>
            <w:shd w:val="clear" w:color="auto" w:fill="003D69"/>
          </w:tcPr>
          <w:p w:rsidR="000126B0" w:rsidRPr="00C36678" w:rsidRDefault="000126B0" w:rsidP="008A3DA7">
            <w:pPr>
              <w:pStyle w:val="Heading1NewPage-AR"/>
            </w:pPr>
            <w:r w:rsidRPr="00C36678">
              <w:lastRenderedPageBreak/>
              <w:t>From the Principal</w:t>
            </w:r>
          </w:p>
        </w:tc>
      </w:tr>
      <w:tr w:rsidR="000126B0" w:rsidRPr="00C36678" w:rsidTr="00EC022A">
        <w:tc>
          <w:tcPr>
            <w:tcW w:w="5000" w:type="pct"/>
            <w:shd w:val="clear" w:color="auto" w:fill="DDDDDD"/>
          </w:tcPr>
          <w:p w:rsidR="000126B0" w:rsidRPr="00C36678" w:rsidRDefault="000126B0" w:rsidP="0063618A">
            <w:pPr>
              <w:pStyle w:val="Heading12-AR"/>
            </w:pPr>
          </w:p>
        </w:tc>
      </w:tr>
    </w:tbl>
    <w:p w:rsidR="000126B0" w:rsidRPr="00C36678" w:rsidRDefault="000126B0" w:rsidP="00354AA9">
      <w:pPr>
        <w:pStyle w:val="Body-Text"/>
      </w:pPr>
    </w:p>
    <w:p w:rsidR="000126B0" w:rsidRPr="00C36678" w:rsidRDefault="000126B0" w:rsidP="00AE6C76">
      <w:pPr>
        <w:pStyle w:val="Body-Text-Smallspace"/>
      </w:pPr>
    </w:p>
    <w:p w:rsidR="000126B0" w:rsidRPr="00C36678" w:rsidRDefault="000126B0" w:rsidP="005B2C67">
      <w:pPr>
        <w:pStyle w:val="Heading3-AR"/>
      </w:pPr>
      <w:r w:rsidRPr="00C36678">
        <w:t>School overview</w:t>
      </w:r>
    </w:p>
    <w:p w:rsidR="00E904CE" w:rsidRDefault="00E904CE" w:rsidP="00E904CE">
      <w:pPr>
        <w:spacing w:before="120" w:after="0"/>
        <w:jc w:val="both"/>
        <w:rPr>
          <w:bCs w:val="0"/>
          <w:noProof/>
          <w:szCs w:val="19"/>
          <w:lang w:eastAsia="zh-CN"/>
        </w:rPr>
      </w:pPr>
      <w:r w:rsidRPr="00E904CE">
        <w:rPr>
          <w:bCs w:val="0"/>
          <w:noProof/>
          <w:szCs w:val="19"/>
          <w:lang w:eastAsia="zh-CN"/>
        </w:rPr>
        <w:t xml:space="preserve">Clifford Park Special School delivers educational programs to enrolled students aged from 12 to 18 years with diagnosed intellectual or multiple impairments. Our school purpose is to provide a supportive learning environment where individual students achieve educational outcomes to assist them in their transition to post-school life. Our students have diverse learning needs. Teachers use specialised, differentiated pedagogy to meet the learning needs of specific </w:t>
      </w:r>
      <w:r w:rsidR="00281CF2">
        <w:rPr>
          <w:bCs w:val="0"/>
          <w:noProof/>
          <w:szCs w:val="19"/>
          <w:lang w:eastAsia="zh-CN"/>
        </w:rPr>
        <w:t>cohorts</w:t>
      </w:r>
      <w:r w:rsidRPr="00E904CE">
        <w:rPr>
          <w:bCs w:val="0"/>
          <w:noProof/>
          <w:szCs w:val="19"/>
          <w:lang w:eastAsia="zh-CN"/>
        </w:rPr>
        <w:t xml:space="preserve"> of students at the school to deliver curriculum ‘on the same basis’ as same aged peers.  The school fosters close working relationships with other government departments and service providers in the community to support students and their families to identify and develop pathways for life post-school.</w:t>
      </w:r>
    </w:p>
    <w:p w:rsidR="00E904CE" w:rsidRDefault="00E904CE" w:rsidP="00E904CE">
      <w:pPr>
        <w:spacing w:after="0"/>
        <w:jc w:val="both"/>
        <w:rPr>
          <w:bCs w:val="0"/>
          <w:noProof/>
          <w:szCs w:val="19"/>
          <w:lang w:eastAsia="zh-CN"/>
        </w:rPr>
      </w:pPr>
    </w:p>
    <w:p w:rsidR="00E904CE" w:rsidRPr="00E904CE" w:rsidRDefault="00E904CE" w:rsidP="00E904CE">
      <w:pPr>
        <w:spacing w:after="0"/>
        <w:jc w:val="both"/>
        <w:rPr>
          <w:bCs w:val="0"/>
          <w:noProof/>
          <w:szCs w:val="19"/>
          <w:lang w:eastAsia="zh-CN"/>
        </w:rPr>
      </w:pPr>
      <w:r w:rsidRPr="00E904CE">
        <w:rPr>
          <w:bCs w:val="0"/>
          <w:noProof/>
          <w:szCs w:val="19"/>
          <w:lang w:eastAsia="zh-CN"/>
        </w:rPr>
        <w:t>Denise Kable Campus, our second campus at Ramsay Street Toowoomba, provides centre-based and outreach support for students with challenging behaviours. The Behaviour Support Team work directly with schools to build capacity to create safe and supportive environments. The Positive Learning Centre (PLC), situated on the Denise Kable campus, is accessed on a referral basis</w:t>
      </w:r>
      <w:r w:rsidR="001023C8">
        <w:rPr>
          <w:bCs w:val="0"/>
          <w:noProof/>
          <w:szCs w:val="19"/>
          <w:lang w:eastAsia="zh-CN"/>
        </w:rPr>
        <w:t>, and supports students who</w:t>
      </w:r>
      <w:r w:rsidRPr="00E904CE">
        <w:rPr>
          <w:bCs w:val="0"/>
          <w:noProof/>
          <w:szCs w:val="19"/>
          <w:lang w:eastAsia="zh-CN"/>
        </w:rPr>
        <w:t xml:space="preserve"> require intensive behavioural support.   The TALES program, situated in a facility in Neil Street Toowoomba, targets young people who are currently under Orders from Youth Justice.  In addition the Denise Kable Campus also offers Electives for students on a short-term basis to enhance their learning opportunities.</w:t>
      </w:r>
    </w:p>
    <w:p w:rsidR="00A2682F" w:rsidRDefault="00A2682F" w:rsidP="00E904CE">
      <w:pPr>
        <w:spacing w:after="0"/>
        <w:jc w:val="both"/>
        <w:rPr>
          <w:bCs w:val="0"/>
          <w:szCs w:val="19"/>
          <w:lang w:eastAsia="zh-CN"/>
        </w:rPr>
      </w:pPr>
    </w:p>
    <w:p w:rsidR="000126B0" w:rsidRDefault="00E904CE" w:rsidP="00E904CE">
      <w:pPr>
        <w:spacing w:after="0"/>
        <w:jc w:val="both"/>
        <w:rPr>
          <w:bCs w:val="0"/>
          <w:szCs w:val="19"/>
          <w:lang w:eastAsia="zh-CN"/>
        </w:rPr>
      </w:pPr>
      <w:r w:rsidRPr="00E904CE">
        <w:rPr>
          <w:bCs w:val="0"/>
          <w:szCs w:val="19"/>
          <w:lang w:eastAsia="zh-CN"/>
        </w:rPr>
        <w:t xml:space="preserve">Both campuses of Clifford Park Special School use the framework of Positive Behaviour for Learning (PBL). </w:t>
      </w:r>
    </w:p>
    <w:p w:rsidR="00E904CE" w:rsidRPr="00E904CE" w:rsidRDefault="00E904CE" w:rsidP="00E904CE">
      <w:pPr>
        <w:pStyle w:val="Body-Text"/>
      </w:pPr>
    </w:p>
    <w:p w:rsidR="000126B0" w:rsidRPr="00C36678" w:rsidRDefault="000126B0" w:rsidP="00AE6C76">
      <w:pPr>
        <w:pStyle w:val="Body-Text-Smallspace"/>
      </w:pPr>
    </w:p>
    <w:p w:rsidR="00AF2C1D" w:rsidRDefault="000126B0" w:rsidP="00281CF2">
      <w:pPr>
        <w:pStyle w:val="Heading3-AR"/>
      </w:pPr>
      <w:r w:rsidRPr="00C36678">
        <w:t>School progress towards its goals in 2018</w:t>
      </w:r>
    </w:p>
    <w:p w:rsidR="00281CF2" w:rsidRDefault="00E47765" w:rsidP="00281CF2">
      <w:pPr>
        <w:pStyle w:val="Body-Table-Bullet"/>
        <w:numPr>
          <w:ilvl w:val="0"/>
          <w:numId w:val="0"/>
        </w:numPr>
        <w:jc w:val="both"/>
        <w:rPr>
          <w:sz w:val="19"/>
          <w:szCs w:val="19"/>
        </w:rPr>
      </w:pPr>
      <w:r w:rsidRPr="00281CF2">
        <w:rPr>
          <w:sz w:val="19"/>
          <w:szCs w:val="19"/>
        </w:rPr>
        <w:t>The School Improvement Unit completed a full School Review of Clifford Park Speci</w:t>
      </w:r>
      <w:r w:rsidR="00281CF2" w:rsidRPr="00281CF2">
        <w:rPr>
          <w:sz w:val="19"/>
          <w:szCs w:val="19"/>
        </w:rPr>
        <w:t xml:space="preserve">al School in 2017.  A four-year </w:t>
      </w:r>
      <w:r w:rsidRPr="00281CF2">
        <w:rPr>
          <w:sz w:val="19"/>
          <w:szCs w:val="19"/>
        </w:rPr>
        <w:t xml:space="preserve">Strategic Plan was completed in response to the Review’s outcome </w:t>
      </w:r>
      <w:r w:rsidR="00AF7EB5" w:rsidRPr="00281CF2">
        <w:rPr>
          <w:sz w:val="19"/>
          <w:szCs w:val="19"/>
        </w:rPr>
        <w:t xml:space="preserve">for </w:t>
      </w:r>
      <w:r w:rsidR="00AF2C1D" w:rsidRPr="00281CF2">
        <w:rPr>
          <w:sz w:val="19"/>
          <w:szCs w:val="19"/>
        </w:rPr>
        <w:t>2018</w:t>
      </w:r>
      <w:r w:rsidRPr="00281CF2">
        <w:rPr>
          <w:sz w:val="19"/>
          <w:szCs w:val="19"/>
        </w:rPr>
        <w:t>-2021.  The Leadership Team</w:t>
      </w:r>
      <w:r w:rsidR="00AF7EB5" w:rsidRPr="00281CF2">
        <w:rPr>
          <w:sz w:val="19"/>
          <w:szCs w:val="19"/>
        </w:rPr>
        <w:t xml:space="preserve"> developed a number of school priorities </w:t>
      </w:r>
      <w:r w:rsidRPr="00281CF2">
        <w:rPr>
          <w:sz w:val="19"/>
          <w:szCs w:val="19"/>
        </w:rPr>
        <w:t>under the areas of School Culture, Explicit Improvement Agenda, Teaching and Learning, Evidence of Learning and Community Partnerships that would unfold over the subsequent four years.</w:t>
      </w:r>
      <w:r w:rsidR="00281CF2">
        <w:rPr>
          <w:sz w:val="19"/>
          <w:szCs w:val="19"/>
        </w:rPr>
        <w:t xml:space="preserve">  </w:t>
      </w:r>
    </w:p>
    <w:p w:rsidR="008950F3" w:rsidRDefault="00281CF2" w:rsidP="00281CF2">
      <w:pPr>
        <w:pStyle w:val="Body-Table-Bullet"/>
        <w:numPr>
          <w:ilvl w:val="0"/>
          <w:numId w:val="0"/>
        </w:numPr>
        <w:jc w:val="both"/>
        <w:rPr>
          <w:sz w:val="19"/>
          <w:szCs w:val="19"/>
        </w:rPr>
      </w:pPr>
      <w:r>
        <w:rPr>
          <w:sz w:val="19"/>
          <w:szCs w:val="19"/>
        </w:rPr>
        <w:t>Many of the targets for the 2018</w:t>
      </w:r>
      <w:r w:rsidR="008950F3" w:rsidRPr="00281CF2">
        <w:rPr>
          <w:sz w:val="19"/>
          <w:szCs w:val="19"/>
        </w:rPr>
        <w:t xml:space="preserve"> A</w:t>
      </w:r>
      <w:r>
        <w:rPr>
          <w:sz w:val="19"/>
          <w:szCs w:val="19"/>
        </w:rPr>
        <w:t>nnual Improvement Plan (AIP) have</w:t>
      </w:r>
      <w:r w:rsidR="008950F3" w:rsidRPr="00281CF2">
        <w:rPr>
          <w:sz w:val="19"/>
          <w:szCs w:val="19"/>
        </w:rPr>
        <w:t xml:space="preserve"> bee</w:t>
      </w:r>
      <w:r w:rsidRPr="00281CF2">
        <w:rPr>
          <w:sz w:val="19"/>
          <w:szCs w:val="19"/>
        </w:rPr>
        <w:t>n achieved.  The following i</w:t>
      </w:r>
      <w:r w:rsidR="008950F3" w:rsidRPr="00281CF2">
        <w:rPr>
          <w:sz w:val="19"/>
          <w:szCs w:val="19"/>
        </w:rPr>
        <w:t>s</w:t>
      </w:r>
      <w:r>
        <w:rPr>
          <w:sz w:val="19"/>
          <w:szCs w:val="19"/>
        </w:rPr>
        <w:t xml:space="preserve"> a s</w:t>
      </w:r>
      <w:r w:rsidR="008950F3" w:rsidRPr="00281CF2">
        <w:rPr>
          <w:sz w:val="19"/>
          <w:szCs w:val="19"/>
        </w:rPr>
        <w:t>ummar</w:t>
      </w:r>
      <w:r>
        <w:rPr>
          <w:sz w:val="19"/>
          <w:szCs w:val="19"/>
        </w:rPr>
        <w:t>y of each of the priority areas as identified in the 2018 AIP.</w:t>
      </w:r>
    </w:p>
    <w:p w:rsidR="00281CF2" w:rsidRPr="00281CF2" w:rsidRDefault="00281CF2" w:rsidP="00281CF2">
      <w:pPr>
        <w:pStyle w:val="Body-Table-Bullet"/>
        <w:numPr>
          <w:ilvl w:val="0"/>
          <w:numId w:val="0"/>
        </w:numPr>
        <w:jc w:val="both"/>
        <w:rPr>
          <w:sz w:val="19"/>
          <w:szCs w:val="19"/>
        </w:rPr>
      </w:pPr>
    </w:p>
    <w:p w:rsidR="008950F3" w:rsidRPr="008950F3" w:rsidRDefault="00AF7EB5" w:rsidP="00281CF2">
      <w:pPr>
        <w:pStyle w:val="Body-Instructions-Bullet"/>
        <w:numPr>
          <w:ilvl w:val="0"/>
          <w:numId w:val="0"/>
        </w:numPr>
        <w:spacing w:after="120"/>
        <w:ind w:left="284" w:hanging="284"/>
        <w:rPr>
          <w:rFonts w:cs="Arial"/>
          <w:color w:val="000000"/>
          <w:szCs w:val="19"/>
        </w:rPr>
      </w:pPr>
      <w:r w:rsidRPr="00747BE6">
        <w:rPr>
          <w:rFonts w:cs="Arial"/>
          <w:i/>
          <w:color w:val="000000"/>
          <w:szCs w:val="19"/>
          <w:u w:val="single"/>
        </w:rPr>
        <w:t>School Cul</w:t>
      </w:r>
      <w:r w:rsidR="008950F3" w:rsidRPr="00747BE6">
        <w:rPr>
          <w:rFonts w:cs="Arial"/>
          <w:i/>
          <w:color w:val="000000"/>
          <w:szCs w:val="19"/>
          <w:u w:val="single"/>
        </w:rPr>
        <w:t>ture</w:t>
      </w:r>
      <w:r w:rsidR="008950F3">
        <w:rPr>
          <w:rFonts w:cs="Arial"/>
          <w:color w:val="000000"/>
          <w:szCs w:val="19"/>
        </w:rPr>
        <w:t xml:space="preserve">:  </w:t>
      </w:r>
      <w:r>
        <w:rPr>
          <w:rFonts w:cs="Arial"/>
          <w:color w:val="000000"/>
          <w:szCs w:val="19"/>
        </w:rPr>
        <w:t xml:space="preserve"> </w:t>
      </w:r>
    </w:p>
    <w:tbl>
      <w:tblPr>
        <w:tblW w:w="9203" w:type="dxa"/>
        <w:tblCellSpacing w:w="15" w:type="dxa"/>
        <w:tblCellMar>
          <w:top w:w="15" w:type="dxa"/>
          <w:left w:w="15" w:type="dxa"/>
          <w:bottom w:w="15" w:type="dxa"/>
          <w:right w:w="15" w:type="dxa"/>
        </w:tblCellMar>
        <w:tblLook w:val="04A0" w:firstRow="1" w:lastRow="0" w:firstColumn="1" w:lastColumn="0" w:noHBand="0" w:noVBand="1"/>
      </w:tblPr>
      <w:tblGrid>
        <w:gridCol w:w="9203"/>
      </w:tblGrid>
      <w:tr w:rsidR="008950F3" w:rsidRPr="008950F3" w:rsidTr="00281CF2">
        <w:trPr>
          <w:tblCellSpacing w:w="15" w:type="dxa"/>
        </w:trPr>
        <w:tc>
          <w:tcPr>
            <w:tcW w:w="9143" w:type="dxa"/>
            <w:hideMark/>
          </w:tcPr>
          <w:p w:rsidR="008950F3" w:rsidRPr="008950F3" w:rsidRDefault="008B4D07" w:rsidP="00281CF2">
            <w:pPr>
              <w:pStyle w:val="Body-Instructions-Bullet"/>
              <w:numPr>
                <w:ilvl w:val="0"/>
                <w:numId w:val="0"/>
              </w:numPr>
              <w:spacing w:after="120"/>
              <w:jc w:val="both"/>
              <w:rPr>
                <w:rFonts w:cs="Arial"/>
                <w:color w:val="000000"/>
                <w:szCs w:val="19"/>
              </w:rPr>
            </w:pPr>
            <w:r>
              <w:rPr>
                <w:rFonts w:cs="Arial"/>
                <w:color w:val="000000"/>
                <w:szCs w:val="19"/>
              </w:rPr>
              <w:t>One of the major labours</w:t>
            </w:r>
            <w:r w:rsidR="00281CF2">
              <w:rPr>
                <w:rFonts w:cs="Arial"/>
                <w:color w:val="000000"/>
                <w:szCs w:val="19"/>
              </w:rPr>
              <w:t xml:space="preserve"> completed during 2018</w:t>
            </w:r>
            <w:r w:rsidR="00747BE6">
              <w:rPr>
                <w:rFonts w:cs="Arial"/>
                <w:color w:val="000000"/>
                <w:szCs w:val="19"/>
              </w:rPr>
              <w:t xml:space="preserve"> was the</w:t>
            </w:r>
            <w:r w:rsidR="00E31C2E">
              <w:rPr>
                <w:rFonts w:cs="Arial"/>
                <w:color w:val="000000"/>
                <w:szCs w:val="19"/>
              </w:rPr>
              <w:t xml:space="preserve"> develop</w:t>
            </w:r>
            <w:r>
              <w:rPr>
                <w:rFonts w:cs="Arial"/>
                <w:color w:val="000000"/>
                <w:szCs w:val="19"/>
              </w:rPr>
              <w:t>ment</w:t>
            </w:r>
            <w:r w:rsidR="00E31C2E">
              <w:rPr>
                <w:rFonts w:cs="Arial"/>
                <w:color w:val="000000"/>
                <w:szCs w:val="19"/>
              </w:rPr>
              <w:t xml:space="preserve"> </w:t>
            </w:r>
            <w:r>
              <w:rPr>
                <w:rFonts w:cs="Arial"/>
                <w:color w:val="000000"/>
                <w:szCs w:val="19"/>
              </w:rPr>
              <w:t xml:space="preserve">of </w:t>
            </w:r>
            <w:r w:rsidR="00E31C2E">
              <w:rPr>
                <w:rFonts w:cs="Arial"/>
                <w:color w:val="000000"/>
                <w:szCs w:val="19"/>
              </w:rPr>
              <w:t>a clear mission statement</w:t>
            </w:r>
            <w:r>
              <w:rPr>
                <w:rFonts w:cs="Arial"/>
                <w:color w:val="000000"/>
                <w:szCs w:val="19"/>
              </w:rPr>
              <w:t xml:space="preserve"> including</w:t>
            </w:r>
            <w:r w:rsidR="00E31C2E">
              <w:rPr>
                <w:rFonts w:cs="Arial"/>
                <w:color w:val="000000"/>
                <w:szCs w:val="19"/>
              </w:rPr>
              <w:t xml:space="preserve"> vision and values, to refle</w:t>
            </w:r>
            <w:r w:rsidR="00281CF2">
              <w:rPr>
                <w:rFonts w:cs="Arial"/>
                <w:color w:val="000000"/>
                <w:szCs w:val="19"/>
              </w:rPr>
              <w:t>ct the school identity and</w:t>
            </w:r>
            <w:r w:rsidR="00E31C2E">
              <w:rPr>
                <w:rFonts w:cs="Arial"/>
                <w:color w:val="000000"/>
                <w:szCs w:val="19"/>
              </w:rPr>
              <w:t xml:space="preserve"> its learning culture.</w:t>
            </w:r>
            <w:r>
              <w:rPr>
                <w:rFonts w:cs="Arial"/>
                <w:color w:val="000000"/>
                <w:szCs w:val="19"/>
              </w:rPr>
              <w:t xml:space="preserve">  All stakeholders in the Clifford Park community were engaged </w:t>
            </w:r>
            <w:r w:rsidR="00281CF2">
              <w:rPr>
                <w:rFonts w:cs="Arial"/>
                <w:color w:val="000000"/>
                <w:szCs w:val="19"/>
              </w:rPr>
              <w:t>in developing a</w:t>
            </w:r>
            <w:r>
              <w:rPr>
                <w:rFonts w:cs="Arial"/>
                <w:color w:val="000000"/>
                <w:szCs w:val="19"/>
              </w:rPr>
              <w:t xml:space="preserve"> modern new branding</w:t>
            </w:r>
            <w:r w:rsidR="00281CF2">
              <w:rPr>
                <w:rFonts w:cs="Arial"/>
                <w:color w:val="000000"/>
                <w:szCs w:val="19"/>
              </w:rPr>
              <w:t xml:space="preserve">. </w:t>
            </w:r>
            <w:r>
              <w:rPr>
                <w:rFonts w:cs="Arial"/>
                <w:color w:val="000000"/>
                <w:szCs w:val="19"/>
              </w:rPr>
              <w:t xml:space="preserve">  A local business </w:t>
            </w:r>
            <w:r w:rsidR="00281CF2">
              <w:rPr>
                <w:rFonts w:cs="Arial"/>
                <w:color w:val="000000"/>
                <w:szCs w:val="19"/>
              </w:rPr>
              <w:t>speci</w:t>
            </w:r>
            <w:r w:rsidR="00B215FE">
              <w:rPr>
                <w:rFonts w:cs="Arial"/>
                <w:color w:val="000000"/>
                <w:szCs w:val="19"/>
              </w:rPr>
              <w:t>alising in</w:t>
            </w:r>
            <w:r w:rsidR="00281CF2">
              <w:rPr>
                <w:rFonts w:cs="Arial"/>
                <w:color w:val="000000"/>
                <w:szCs w:val="19"/>
              </w:rPr>
              <w:t xml:space="preserve"> organisation branding was used to assist with</w:t>
            </w:r>
            <w:r>
              <w:rPr>
                <w:rFonts w:cs="Arial"/>
                <w:color w:val="000000"/>
                <w:szCs w:val="19"/>
              </w:rPr>
              <w:t xml:space="preserve"> bringing all ideas together</w:t>
            </w:r>
            <w:r w:rsidR="00B215FE">
              <w:rPr>
                <w:rFonts w:cs="Arial"/>
                <w:color w:val="000000"/>
                <w:szCs w:val="19"/>
              </w:rPr>
              <w:t xml:space="preserve"> from stakeholders</w:t>
            </w:r>
            <w:r>
              <w:rPr>
                <w:rFonts w:cs="Arial"/>
                <w:color w:val="000000"/>
                <w:szCs w:val="19"/>
              </w:rPr>
              <w:t xml:space="preserve"> and </w:t>
            </w:r>
            <w:r w:rsidR="00281CF2">
              <w:rPr>
                <w:rFonts w:cs="Arial"/>
                <w:color w:val="000000"/>
                <w:szCs w:val="19"/>
              </w:rPr>
              <w:t>establishing</w:t>
            </w:r>
            <w:r w:rsidR="00B215FE">
              <w:rPr>
                <w:rFonts w:cs="Arial"/>
                <w:color w:val="000000"/>
                <w:szCs w:val="19"/>
              </w:rPr>
              <w:t xml:space="preserve"> an authentic</w:t>
            </w:r>
            <w:r w:rsidR="00281CF2">
              <w:rPr>
                <w:rFonts w:cs="Arial"/>
                <w:color w:val="000000"/>
                <w:szCs w:val="19"/>
              </w:rPr>
              <w:t xml:space="preserve"> consensus</w:t>
            </w:r>
            <w:r>
              <w:rPr>
                <w:rFonts w:cs="Arial"/>
                <w:color w:val="000000"/>
                <w:szCs w:val="19"/>
              </w:rPr>
              <w:t xml:space="preserve">.  </w:t>
            </w:r>
            <w:r w:rsidR="00B215FE">
              <w:rPr>
                <w:rFonts w:cs="Arial"/>
                <w:color w:val="000000"/>
                <w:szCs w:val="19"/>
              </w:rPr>
              <w:t>The end of 2018 saw three new pillars, a mission statement, a statement of values and vision, and a new logo for Clifford Park Special School.</w:t>
            </w:r>
            <w:r>
              <w:rPr>
                <w:rFonts w:cs="Arial"/>
                <w:color w:val="000000"/>
                <w:szCs w:val="19"/>
              </w:rPr>
              <w:t xml:space="preserve">  </w:t>
            </w:r>
            <w:r w:rsidR="007D1F29">
              <w:rPr>
                <w:rFonts w:cs="Arial"/>
                <w:color w:val="000000"/>
                <w:szCs w:val="19"/>
              </w:rPr>
              <w:t>In 2019</w:t>
            </w:r>
            <w:r w:rsidR="00B215FE">
              <w:rPr>
                <w:rFonts w:cs="Arial"/>
                <w:color w:val="000000"/>
                <w:szCs w:val="19"/>
              </w:rPr>
              <w:t>,</w:t>
            </w:r>
            <w:r w:rsidR="007D1F29">
              <w:rPr>
                <w:rFonts w:cs="Arial"/>
                <w:color w:val="000000"/>
                <w:szCs w:val="19"/>
              </w:rPr>
              <w:t xml:space="preserve"> the new</w:t>
            </w:r>
            <w:r w:rsidR="00B215FE">
              <w:rPr>
                <w:rFonts w:cs="Arial"/>
                <w:color w:val="000000"/>
                <w:szCs w:val="19"/>
              </w:rPr>
              <w:t xml:space="preserve"> branding will be released to the school community through a formal celebration. </w:t>
            </w:r>
            <w:r w:rsidR="00E31C2E">
              <w:rPr>
                <w:rFonts w:cs="Arial"/>
                <w:color w:val="000000"/>
                <w:szCs w:val="19"/>
              </w:rPr>
              <w:t xml:space="preserve"> </w:t>
            </w:r>
          </w:p>
        </w:tc>
      </w:tr>
      <w:tr w:rsidR="008950F3" w:rsidRPr="008950F3" w:rsidTr="00281CF2">
        <w:trPr>
          <w:tblCellSpacing w:w="15" w:type="dxa"/>
        </w:trPr>
        <w:tc>
          <w:tcPr>
            <w:tcW w:w="9143" w:type="dxa"/>
            <w:hideMark/>
          </w:tcPr>
          <w:p w:rsidR="008950F3" w:rsidRPr="008950F3" w:rsidRDefault="007D1F29" w:rsidP="00F32C98">
            <w:pPr>
              <w:spacing w:after="0"/>
              <w:jc w:val="both"/>
              <w:rPr>
                <w:rFonts w:eastAsia="Times New Roman"/>
                <w:bCs w:val="0"/>
                <w:color w:val="000000"/>
                <w:szCs w:val="19"/>
                <w:lang w:eastAsia="zh-TW"/>
              </w:rPr>
            </w:pPr>
            <w:r>
              <w:rPr>
                <w:rFonts w:eastAsia="Times New Roman"/>
                <w:bCs w:val="0"/>
                <w:color w:val="000000"/>
                <w:szCs w:val="19"/>
                <w:lang w:eastAsia="zh-TW"/>
              </w:rPr>
              <w:t xml:space="preserve">The </w:t>
            </w:r>
            <w:r w:rsidR="008950F3" w:rsidRPr="008950F3">
              <w:rPr>
                <w:rFonts w:eastAsia="Times New Roman"/>
                <w:bCs w:val="0"/>
                <w:color w:val="000000"/>
                <w:szCs w:val="19"/>
                <w:lang w:eastAsia="zh-TW"/>
              </w:rPr>
              <w:t>Responsible Behaviour Plan for Students</w:t>
            </w:r>
            <w:r>
              <w:rPr>
                <w:rFonts w:eastAsia="Times New Roman"/>
                <w:bCs w:val="0"/>
                <w:color w:val="000000"/>
                <w:szCs w:val="19"/>
                <w:lang w:eastAsia="zh-TW"/>
              </w:rPr>
              <w:t xml:space="preserve"> was reviewed and changes made to reflect</w:t>
            </w:r>
            <w:r w:rsidR="008950F3" w:rsidRPr="008950F3">
              <w:rPr>
                <w:rFonts w:eastAsia="Times New Roman"/>
                <w:bCs w:val="0"/>
                <w:color w:val="000000"/>
                <w:szCs w:val="19"/>
                <w:lang w:eastAsia="zh-TW"/>
              </w:rPr>
              <w:t xml:space="preserve"> current practices in line with the P</w:t>
            </w:r>
            <w:r w:rsidR="00D7443D">
              <w:rPr>
                <w:rFonts w:eastAsia="Times New Roman"/>
                <w:bCs w:val="0"/>
                <w:color w:val="000000"/>
                <w:szCs w:val="19"/>
                <w:lang w:eastAsia="zh-TW"/>
              </w:rPr>
              <w:t xml:space="preserve">ositive Behaviour for Learning </w:t>
            </w:r>
            <w:r w:rsidR="00F32C98">
              <w:rPr>
                <w:rFonts w:eastAsia="Times New Roman"/>
                <w:bCs w:val="0"/>
                <w:color w:val="000000"/>
                <w:szCs w:val="19"/>
                <w:lang w:eastAsia="zh-TW"/>
              </w:rPr>
              <w:t xml:space="preserve">(PBL) </w:t>
            </w:r>
            <w:r w:rsidR="00D7443D">
              <w:rPr>
                <w:rFonts w:eastAsia="Times New Roman"/>
                <w:bCs w:val="0"/>
                <w:color w:val="000000"/>
                <w:szCs w:val="19"/>
                <w:lang w:eastAsia="zh-TW"/>
              </w:rPr>
              <w:t>F</w:t>
            </w:r>
            <w:r w:rsidR="008950F3" w:rsidRPr="008950F3">
              <w:rPr>
                <w:rFonts w:eastAsia="Times New Roman"/>
                <w:bCs w:val="0"/>
                <w:color w:val="000000"/>
                <w:szCs w:val="19"/>
                <w:lang w:eastAsia="zh-TW"/>
              </w:rPr>
              <w:t>ramework.</w:t>
            </w:r>
            <w:r>
              <w:rPr>
                <w:rFonts w:eastAsia="Times New Roman"/>
                <w:bCs w:val="0"/>
                <w:color w:val="000000"/>
                <w:szCs w:val="19"/>
                <w:lang w:eastAsia="zh-TW"/>
              </w:rPr>
              <w:t xml:space="preserve">  In addition, guidelines were established to assist teachers with engaging with the Student Support Team</w:t>
            </w:r>
            <w:r w:rsidR="00F32C98">
              <w:rPr>
                <w:rFonts w:eastAsia="Times New Roman"/>
                <w:bCs w:val="0"/>
                <w:color w:val="000000"/>
                <w:szCs w:val="19"/>
                <w:lang w:eastAsia="zh-TW"/>
              </w:rPr>
              <w:t xml:space="preserve"> (SST)</w:t>
            </w:r>
            <w:r>
              <w:rPr>
                <w:rFonts w:eastAsia="Times New Roman"/>
                <w:bCs w:val="0"/>
                <w:color w:val="000000"/>
                <w:szCs w:val="19"/>
                <w:lang w:eastAsia="zh-TW"/>
              </w:rPr>
              <w:t xml:space="preserve">.  The function of </w:t>
            </w:r>
            <w:r w:rsidR="00D7443D">
              <w:rPr>
                <w:rFonts w:eastAsia="Times New Roman"/>
                <w:bCs w:val="0"/>
                <w:color w:val="000000"/>
                <w:szCs w:val="19"/>
                <w:lang w:eastAsia="zh-TW"/>
              </w:rPr>
              <w:t xml:space="preserve">the </w:t>
            </w:r>
            <w:r>
              <w:rPr>
                <w:rFonts w:eastAsia="Times New Roman"/>
                <w:bCs w:val="0"/>
                <w:color w:val="000000"/>
                <w:szCs w:val="19"/>
                <w:lang w:eastAsia="zh-TW"/>
              </w:rPr>
              <w:t>SST is to assist with managing students with complex and challenging behaviours. In addition</w:t>
            </w:r>
            <w:r w:rsidR="00D7443D">
              <w:rPr>
                <w:rFonts w:eastAsia="Times New Roman"/>
                <w:bCs w:val="0"/>
                <w:color w:val="000000"/>
                <w:szCs w:val="19"/>
                <w:lang w:eastAsia="zh-TW"/>
              </w:rPr>
              <w:t>,</w:t>
            </w:r>
            <w:r>
              <w:rPr>
                <w:rFonts w:eastAsia="Times New Roman"/>
                <w:bCs w:val="0"/>
                <w:color w:val="000000"/>
                <w:szCs w:val="19"/>
                <w:lang w:eastAsia="zh-TW"/>
              </w:rPr>
              <w:t xml:space="preserve"> the Leadership Team and the PBL Team </w:t>
            </w:r>
            <w:r w:rsidR="00F32C98">
              <w:rPr>
                <w:rFonts w:eastAsia="Times New Roman"/>
                <w:bCs w:val="0"/>
                <w:color w:val="000000"/>
                <w:szCs w:val="19"/>
                <w:lang w:eastAsia="zh-TW"/>
              </w:rPr>
              <w:t>worked together</w:t>
            </w:r>
            <w:r w:rsidR="00D24151">
              <w:rPr>
                <w:rFonts w:eastAsia="Times New Roman"/>
                <w:bCs w:val="0"/>
                <w:color w:val="000000"/>
                <w:szCs w:val="19"/>
                <w:lang w:eastAsia="zh-TW"/>
              </w:rPr>
              <w:t xml:space="preserve"> to ensure all staff were aware of the support structures and processes of individual students who have specific behaviour strategies in place through</w:t>
            </w:r>
            <w:r w:rsidR="00D7443D">
              <w:rPr>
                <w:rFonts w:eastAsia="Times New Roman"/>
                <w:bCs w:val="0"/>
                <w:color w:val="000000"/>
                <w:szCs w:val="19"/>
                <w:lang w:eastAsia="zh-TW"/>
              </w:rPr>
              <w:t xml:space="preserve"> established</w:t>
            </w:r>
            <w:r w:rsidR="00D24151">
              <w:rPr>
                <w:rFonts w:eastAsia="Times New Roman"/>
                <w:bCs w:val="0"/>
                <w:color w:val="000000"/>
                <w:szCs w:val="19"/>
                <w:lang w:eastAsia="zh-TW"/>
              </w:rPr>
              <w:t xml:space="preserve"> communication systems. </w:t>
            </w:r>
          </w:p>
        </w:tc>
      </w:tr>
      <w:tr w:rsidR="008950F3" w:rsidRPr="008950F3" w:rsidTr="00281CF2">
        <w:trPr>
          <w:tblCellSpacing w:w="15" w:type="dxa"/>
        </w:trPr>
        <w:tc>
          <w:tcPr>
            <w:tcW w:w="9143" w:type="dxa"/>
            <w:hideMark/>
          </w:tcPr>
          <w:p w:rsidR="008950F3" w:rsidRPr="008950F3" w:rsidRDefault="008950F3" w:rsidP="008950F3">
            <w:pPr>
              <w:spacing w:after="0"/>
              <w:rPr>
                <w:rFonts w:eastAsia="Times New Roman"/>
                <w:bCs w:val="0"/>
                <w:color w:val="000000"/>
                <w:szCs w:val="19"/>
                <w:lang w:eastAsia="zh-TW"/>
              </w:rPr>
            </w:pPr>
          </w:p>
        </w:tc>
      </w:tr>
      <w:tr w:rsidR="008950F3" w:rsidRPr="008950F3" w:rsidTr="00281CF2">
        <w:trPr>
          <w:tblCellSpacing w:w="15" w:type="dxa"/>
        </w:trPr>
        <w:tc>
          <w:tcPr>
            <w:tcW w:w="9143" w:type="dxa"/>
            <w:hideMark/>
          </w:tcPr>
          <w:p w:rsidR="008950F3" w:rsidRPr="008950F3" w:rsidRDefault="008950F3" w:rsidP="008950F3">
            <w:pPr>
              <w:spacing w:after="0"/>
              <w:rPr>
                <w:rFonts w:eastAsia="Times New Roman"/>
                <w:bCs w:val="0"/>
                <w:color w:val="000000"/>
                <w:szCs w:val="19"/>
                <w:lang w:eastAsia="zh-TW"/>
              </w:rPr>
            </w:pPr>
          </w:p>
        </w:tc>
      </w:tr>
      <w:tr w:rsidR="008950F3" w:rsidRPr="008950F3" w:rsidTr="00281CF2">
        <w:trPr>
          <w:tblCellSpacing w:w="15" w:type="dxa"/>
        </w:trPr>
        <w:tc>
          <w:tcPr>
            <w:tcW w:w="9143" w:type="dxa"/>
            <w:hideMark/>
          </w:tcPr>
          <w:p w:rsidR="008950F3" w:rsidRPr="008950F3" w:rsidRDefault="008950F3" w:rsidP="008950F3">
            <w:pPr>
              <w:spacing w:after="0"/>
              <w:rPr>
                <w:rFonts w:eastAsia="Times New Roman"/>
                <w:bCs w:val="0"/>
                <w:i/>
                <w:color w:val="000000"/>
                <w:szCs w:val="19"/>
                <w:u w:val="single"/>
                <w:lang w:eastAsia="zh-TW"/>
              </w:rPr>
            </w:pPr>
          </w:p>
        </w:tc>
      </w:tr>
    </w:tbl>
    <w:p w:rsidR="00AF2C1D" w:rsidRPr="00C96D86" w:rsidRDefault="00C96D86" w:rsidP="00AF2C1D">
      <w:pPr>
        <w:pStyle w:val="Body-Instructions-Bullet"/>
        <w:numPr>
          <w:ilvl w:val="0"/>
          <w:numId w:val="0"/>
        </w:numPr>
        <w:spacing w:after="120"/>
        <w:ind w:left="284" w:hanging="284"/>
        <w:rPr>
          <w:i/>
          <w:color w:val="auto"/>
          <w:u w:val="single"/>
        </w:rPr>
      </w:pPr>
      <w:r>
        <w:rPr>
          <w:color w:val="auto"/>
        </w:rPr>
        <w:t xml:space="preserve"> </w:t>
      </w:r>
      <w:r w:rsidRPr="00C96D86">
        <w:rPr>
          <w:i/>
          <w:color w:val="auto"/>
          <w:u w:val="single"/>
        </w:rPr>
        <w:t>Explicit Improvement Agenda</w:t>
      </w:r>
    </w:p>
    <w:tbl>
      <w:tblPr>
        <w:tblStyle w:val="TableGrid1"/>
        <w:tblW w:w="9209" w:type="dxa"/>
        <w:tblLook w:val="04A0" w:firstRow="1" w:lastRow="0" w:firstColumn="1" w:lastColumn="0" w:noHBand="0" w:noVBand="1"/>
      </w:tblPr>
      <w:tblGrid>
        <w:gridCol w:w="2689"/>
        <w:gridCol w:w="6520"/>
      </w:tblGrid>
      <w:tr w:rsidR="004653A0" w:rsidRPr="004653A0" w:rsidTr="001B4538">
        <w:trPr>
          <w:trHeight w:val="1030"/>
        </w:trPr>
        <w:tc>
          <w:tcPr>
            <w:tcW w:w="9209" w:type="dxa"/>
            <w:gridSpan w:val="2"/>
          </w:tcPr>
          <w:p w:rsidR="004653A0" w:rsidRPr="004653A0" w:rsidRDefault="001B4538" w:rsidP="001B4538">
            <w:pPr>
              <w:spacing w:after="200" w:line="276" w:lineRule="auto"/>
              <w:rPr>
                <w:rFonts w:eastAsia="Times New Roman"/>
                <w:bCs w:val="0"/>
                <w:sz w:val="16"/>
                <w:szCs w:val="16"/>
                <w:lang w:eastAsia="zh-CN"/>
              </w:rPr>
            </w:pPr>
            <w:r>
              <w:rPr>
                <w:rFonts w:eastAsia="Times New Roman"/>
                <w:bCs w:val="0"/>
                <w:sz w:val="16"/>
                <w:szCs w:val="16"/>
                <w:lang w:eastAsia="zh-CN"/>
              </w:rPr>
              <w:t>Throughout 2018</w:t>
            </w:r>
            <w:r w:rsidRPr="004653A0">
              <w:rPr>
                <w:rFonts w:eastAsia="Times New Roman"/>
                <w:bCs w:val="0"/>
                <w:sz w:val="16"/>
                <w:szCs w:val="16"/>
                <w:lang w:eastAsia="zh-CN"/>
              </w:rPr>
              <w:t xml:space="preserve">, a well-developed plan for establishing strong processes that supported teachers to use Evidence of Learning practices to assist students to achieve their personalised reading and/or literacy expectation </w:t>
            </w:r>
            <w:r>
              <w:rPr>
                <w:rFonts w:eastAsia="Times New Roman"/>
                <w:bCs w:val="0"/>
                <w:sz w:val="16"/>
                <w:szCs w:val="16"/>
                <w:lang w:eastAsia="zh-CN"/>
              </w:rPr>
              <w:t xml:space="preserve">and maths expectation </w:t>
            </w:r>
            <w:r w:rsidRPr="004653A0">
              <w:rPr>
                <w:rFonts w:eastAsia="Times New Roman"/>
                <w:bCs w:val="0"/>
                <w:sz w:val="16"/>
                <w:szCs w:val="16"/>
                <w:lang w:eastAsia="zh-CN"/>
              </w:rPr>
              <w:t>was</w:t>
            </w:r>
            <w:r w:rsidR="00972D57">
              <w:rPr>
                <w:rFonts w:eastAsia="Times New Roman"/>
                <w:bCs w:val="0"/>
                <w:sz w:val="16"/>
                <w:szCs w:val="16"/>
                <w:lang w:eastAsia="zh-CN"/>
              </w:rPr>
              <w:t xml:space="preserve"> </w:t>
            </w:r>
            <w:r>
              <w:rPr>
                <w:rFonts w:eastAsia="Times New Roman"/>
                <w:bCs w:val="0"/>
                <w:sz w:val="16"/>
                <w:szCs w:val="16"/>
                <w:lang w:eastAsia="zh-CN"/>
              </w:rPr>
              <w:t>implemented.</w:t>
            </w:r>
            <w:r w:rsidR="004C0A4B">
              <w:rPr>
                <w:rFonts w:eastAsia="Times New Roman"/>
                <w:bCs w:val="0"/>
                <w:sz w:val="16"/>
                <w:szCs w:val="16"/>
                <w:lang w:eastAsia="zh-CN"/>
              </w:rPr>
              <w:t xml:space="preserve">  The greatest impact on student learning has been the implementation of Conferencing whereby teachers meet with their Feedback Coach to discus</w:t>
            </w:r>
            <w:r w:rsidR="00972D57">
              <w:rPr>
                <w:rFonts w:eastAsia="Times New Roman"/>
                <w:bCs w:val="0"/>
                <w:sz w:val="16"/>
                <w:szCs w:val="16"/>
                <w:lang w:eastAsia="zh-CN"/>
              </w:rPr>
              <w:t>s</w:t>
            </w:r>
            <w:r w:rsidR="004C0A4B">
              <w:rPr>
                <w:rFonts w:eastAsia="Times New Roman"/>
                <w:bCs w:val="0"/>
                <w:sz w:val="16"/>
                <w:szCs w:val="16"/>
                <w:lang w:eastAsia="zh-CN"/>
              </w:rPr>
              <w:t xml:space="preserve"> evidence of learning and the next step of learning for each student.  Evidence of Learning includes both summative and formative assessments types.</w:t>
            </w:r>
          </w:p>
        </w:tc>
      </w:tr>
      <w:tr w:rsidR="004653A0" w:rsidRPr="004653A0" w:rsidTr="000C6EB2">
        <w:tc>
          <w:tcPr>
            <w:tcW w:w="2689" w:type="dxa"/>
          </w:tcPr>
          <w:p w:rsidR="004653A0" w:rsidRPr="004653A0" w:rsidRDefault="0059060B" w:rsidP="004653A0">
            <w:pPr>
              <w:spacing w:after="0"/>
              <w:jc w:val="center"/>
              <w:rPr>
                <w:rFonts w:eastAsia="Times New Roman" w:cs="Times New Roman"/>
                <w:bCs w:val="0"/>
                <w:spacing w:val="10"/>
                <w:sz w:val="16"/>
                <w:szCs w:val="16"/>
                <w:lang w:val="en-US"/>
              </w:rPr>
            </w:pPr>
            <w:r>
              <w:rPr>
                <w:rFonts w:eastAsia="Times New Roman" w:cs="Times New Roman"/>
                <w:bCs w:val="0"/>
                <w:spacing w:val="10"/>
                <w:sz w:val="16"/>
                <w:szCs w:val="16"/>
                <w:lang w:val="en-US"/>
              </w:rPr>
              <w:t>Target</w:t>
            </w:r>
          </w:p>
        </w:tc>
        <w:tc>
          <w:tcPr>
            <w:tcW w:w="6520" w:type="dxa"/>
          </w:tcPr>
          <w:p w:rsidR="004653A0" w:rsidRPr="004653A0" w:rsidRDefault="004653A0" w:rsidP="004653A0">
            <w:pPr>
              <w:spacing w:after="0"/>
              <w:jc w:val="center"/>
              <w:rPr>
                <w:rFonts w:eastAsia="Times New Roman" w:cs="Times New Roman"/>
                <w:bCs w:val="0"/>
                <w:spacing w:val="10"/>
                <w:sz w:val="16"/>
                <w:szCs w:val="16"/>
                <w:lang w:val="en-US"/>
              </w:rPr>
            </w:pPr>
            <w:r w:rsidRPr="004653A0">
              <w:rPr>
                <w:rFonts w:eastAsia="Times New Roman" w:cs="Times New Roman"/>
                <w:bCs w:val="0"/>
                <w:spacing w:val="10"/>
                <w:sz w:val="16"/>
                <w:szCs w:val="16"/>
                <w:lang w:val="en-US"/>
              </w:rPr>
              <w:t>Progress</w:t>
            </w:r>
            <w:r w:rsidR="001B4538">
              <w:rPr>
                <w:rFonts w:eastAsia="Times New Roman" w:cs="Times New Roman"/>
                <w:bCs w:val="0"/>
                <w:spacing w:val="10"/>
                <w:sz w:val="16"/>
                <w:szCs w:val="16"/>
                <w:lang w:val="en-US"/>
              </w:rPr>
              <w:t xml:space="preserve"> on strategies</w:t>
            </w:r>
          </w:p>
        </w:tc>
      </w:tr>
      <w:tr w:rsidR="004653A0" w:rsidRPr="004653A0" w:rsidTr="000C6EB2">
        <w:tc>
          <w:tcPr>
            <w:tcW w:w="2689" w:type="dxa"/>
          </w:tcPr>
          <w:p w:rsidR="004653A0" w:rsidRPr="00972D57" w:rsidRDefault="004653A0" w:rsidP="00972D57">
            <w:pPr>
              <w:pStyle w:val="ListParagraph"/>
              <w:numPr>
                <w:ilvl w:val="0"/>
                <w:numId w:val="24"/>
              </w:numPr>
              <w:spacing w:after="0"/>
              <w:rPr>
                <w:rFonts w:eastAsia="Times New Roman" w:cs="Times New Roman"/>
                <w:bCs w:val="0"/>
                <w:color w:val="FF0000"/>
                <w:spacing w:val="10"/>
                <w:sz w:val="16"/>
                <w:szCs w:val="16"/>
                <w:lang w:val="en-US"/>
              </w:rPr>
            </w:pPr>
            <w:r w:rsidRPr="00972D57">
              <w:rPr>
                <w:rFonts w:eastAsia="Times New Roman"/>
                <w:bCs w:val="0"/>
                <w:sz w:val="16"/>
                <w:szCs w:val="16"/>
                <w:lang w:eastAsia="zh-CN"/>
              </w:rPr>
              <w:t>Students will achieve their reading expectation or literacy learning expectation</w:t>
            </w:r>
          </w:p>
        </w:tc>
        <w:tc>
          <w:tcPr>
            <w:tcW w:w="6520" w:type="dxa"/>
          </w:tcPr>
          <w:p w:rsidR="00D052EB" w:rsidRDefault="00D052EB" w:rsidP="004653A0">
            <w:pPr>
              <w:spacing w:after="0" w:line="276" w:lineRule="auto"/>
              <w:rPr>
                <w:rFonts w:eastAsia="Times New Roman"/>
                <w:bCs w:val="0"/>
                <w:sz w:val="16"/>
                <w:szCs w:val="16"/>
                <w:lang w:eastAsia="zh-CN"/>
              </w:rPr>
            </w:pPr>
            <w:r>
              <w:rPr>
                <w:rFonts w:eastAsia="Times New Roman"/>
                <w:bCs w:val="0"/>
                <w:sz w:val="16"/>
                <w:szCs w:val="16"/>
                <w:lang w:eastAsia="zh-CN"/>
              </w:rPr>
              <w:t>Peer Feedback Coaches supported teachers in aligning precise reading/literacy expectations with specific instructional pedagogies.</w:t>
            </w:r>
            <w:r w:rsidR="001B4538">
              <w:rPr>
                <w:rFonts w:eastAsia="Times New Roman"/>
                <w:bCs w:val="0"/>
                <w:sz w:val="16"/>
                <w:szCs w:val="16"/>
                <w:lang w:eastAsia="zh-CN"/>
              </w:rPr>
              <w:t xml:space="preserve"> The following actions were progressed:</w:t>
            </w:r>
          </w:p>
          <w:p w:rsidR="00D052EB" w:rsidRPr="001B4538" w:rsidRDefault="001B4538" w:rsidP="001B4538">
            <w:pPr>
              <w:pStyle w:val="ListParagraph"/>
              <w:numPr>
                <w:ilvl w:val="0"/>
                <w:numId w:val="14"/>
              </w:numPr>
              <w:spacing w:after="0" w:line="276" w:lineRule="auto"/>
              <w:rPr>
                <w:rFonts w:eastAsia="Times New Roman"/>
                <w:bCs w:val="0"/>
                <w:sz w:val="16"/>
                <w:szCs w:val="16"/>
                <w:lang w:eastAsia="zh-CN"/>
              </w:rPr>
            </w:pPr>
            <w:r w:rsidRPr="001B4538">
              <w:rPr>
                <w:color w:val="000000"/>
                <w:sz w:val="16"/>
                <w:szCs w:val="16"/>
              </w:rPr>
              <w:lastRenderedPageBreak/>
              <w:t>One o</w:t>
            </w:r>
            <w:r>
              <w:rPr>
                <w:color w:val="000000"/>
                <w:sz w:val="16"/>
                <w:szCs w:val="16"/>
              </w:rPr>
              <w:t>r more conferencing sessions were</w:t>
            </w:r>
            <w:r w:rsidRPr="001B4538">
              <w:rPr>
                <w:color w:val="000000"/>
                <w:sz w:val="16"/>
                <w:szCs w:val="16"/>
              </w:rPr>
              <w:t xml:space="preserve"> allocated per teacher for collaboration with their Peer Feedback Coach to develop reading/literacy expectations for each student</w:t>
            </w:r>
            <w:r w:rsidR="00835147">
              <w:rPr>
                <w:color w:val="000000"/>
                <w:sz w:val="16"/>
                <w:szCs w:val="16"/>
              </w:rPr>
              <w:t>.</w:t>
            </w:r>
          </w:p>
          <w:p w:rsidR="001B4538" w:rsidRPr="001B4538" w:rsidRDefault="001B4538" w:rsidP="001B4538">
            <w:pPr>
              <w:pStyle w:val="ListParagraph"/>
              <w:numPr>
                <w:ilvl w:val="0"/>
                <w:numId w:val="14"/>
              </w:numPr>
              <w:spacing w:after="0" w:line="276" w:lineRule="auto"/>
              <w:rPr>
                <w:rFonts w:eastAsia="Times New Roman"/>
                <w:bCs w:val="0"/>
                <w:sz w:val="16"/>
                <w:szCs w:val="16"/>
                <w:lang w:eastAsia="zh-CN"/>
              </w:rPr>
            </w:pPr>
            <w:r w:rsidRPr="001B4538">
              <w:rPr>
                <w:color w:val="000000"/>
                <w:sz w:val="16"/>
                <w:szCs w:val="16"/>
              </w:rPr>
              <w:t>Peer Feedback Coaches model</w:t>
            </w:r>
            <w:r>
              <w:rPr>
                <w:color w:val="000000"/>
                <w:sz w:val="16"/>
                <w:szCs w:val="16"/>
              </w:rPr>
              <w:t>led</w:t>
            </w:r>
            <w:r w:rsidRPr="001B4538">
              <w:rPr>
                <w:color w:val="000000"/>
                <w:sz w:val="16"/>
                <w:szCs w:val="16"/>
              </w:rPr>
              <w:t xml:space="preserve"> pedagogies and provide</w:t>
            </w:r>
            <w:r>
              <w:rPr>
                <w:color w:val="000000"/>
                <w:sz w:val="16"/>
                <w:szCs w:val="16"/>
              </w:rPr>
              <w:t>d</w:t>
            </w:r>
            <w:r w:rsidRPr="001B4538">
              <w:rPr>
                <w:color w:val="000000"/>
                <w:sz w:val="16"/>
                <w:szCs w:val="16"/>
              </w:rPr>
              <w:t xml:space="preserve"> resources to teachers to enhance their understanding and practice of reading/literacy skills.</w:t>
            </w:r>
          </w:p>
          <w:p w:rsidR="0059060B" w:rsidRPr="0059060B" w:rsidRDefault="001B4538" w:rsidP="0059060B">
            <w:pPr>
              <w:pStyle w:val="ListParagraph"/>
              <w:numPr>
                <w:ilvl w:val="0"/>
                <w:numId w:val="14"/>
              </w:numPr>
              <w:spacing w:after="0" w:line="276" w:lineRule="auto"/>
              <w:rPr>
                <w:rFonts w:eastAsia="Times New Roman"/>
                <w:bCs w:val="0"/>
                <w:sz w:val="16"/>
                <w:szCs w:val="16"/>
                <w:lang w:eastAsia="zh-CN"/>
              </w:rPr>
            </w:pPr>
            <w:r w:rsidRPr="001B4538">
              <w:rPr>
                <w:color w:val="000000"/>
                <w:sz w:val="16"/>
                <w:szCs w:val="16"/>
              </w:rPr>
              <w:t>Ph</w:t>
            </w:r>
            <w:r>
              <w:rPr>
                <w:color w:val="000000"/>
                <w:sz w:val="16"/>
                <w:szCs w:val="16"/>
              </w:rPr>
              <w:t xml:space="preserve">onemic Awareness training was </w:t>
            </w:r>
            <w:r w:rsidRPr="001B4538">
              <w:rPr>
                <w:color w:val="000000"/>
                <w:sz w:val="16"/>
                <w:szCs w:val="16"/>
              </w:rPr>
              <w:t>provided to a specified group</w:t>
            </w:r>
            <w:r>
              <w:rPr>
                <w:color w:val="000000"/>
                <w:sz w:val="16"/>
                <w:szCs w:val="16"/>
              </w:rPr>
              <w:t xml:space="preserve"> of teachers. Master Teacher </w:t>
            </w:r>
            <w:r w:rsidRPr="001B4538">
              <w:rPr>
                <w:color w:val="000000"/>
                <w:sz w:val="16"/>
                <w:szCs w:val="16"/>
              </w:rPr>
              <w:t>attend</w:t>
            </w:r>
            <w:r>
              <w:rPr>
                <w:color w:val="000000"/>
                <w:sz w:val="16"/>
                <w:szCs w:val="16"/>
              </w:rPr>
              <w:t>ed</w:t>
            </w:r>
            <w:r w:rsidRPr="001B4538">
              <w:rPr>
                <w:color w:val="000000"/>
                <w:sz w:val="16"/>
                <w:szCs w:val="16"/>
              </w:rPr>
              <w:t xml:space="preserve"> the Phonemic Awareness Train-the-Trainer program.</w:t>
            </w:r>
          </w:p>
          <w:p w:rsidR="004653A0" w:rsidRPr="0059060B" w:rsidRDefault="001B4538" w:rsidP="004653A0">
            <w:pPr>
              <w:pStyle w:val="ListParagraph"/>
              <w:numPr>
                <w:ilvl w:val="0"/>
                <w:numId w:val="14"/>
              </w:numPr>
              <w:spacing w:after="0" w:line="276" w:lineRule="auto"/>
              <w:rPr>
                <w:rFonts w:eastAsia="Times New Roman"/>
                <w:bCs w:val="0"/>
                <w:sz w:val="16"/>
                <w:szCs w:val="16"/>
                <w:lang w:eastAsia="zh-CN"/>
              </w:rPr>
            </w:pPr>
            <w:r w:rsidRPr="001B4538">
              <w:rPr>
                <w:color w:val="000000"/>
                <w:sz w:val="16"/>
                <w:szCs w:val="16"/>
              </w:rPr>
              <w:t xml:space="preserve">Teachers </w:t>
            </w:r>
            <w:r w:rsidR="00835147">
              <w:rPr>
                <w:color w:val="000000"/>
                <w:sz w:val="16"/>
                <w:szCs w:val="16"/>
              </w:rPr>
              <w:t>were inserviced in the</w:t>
            </w:r>
            <w:r w:rsidRPr="001B4538">
              <w:rPr>
                <w:color w:val="000000"/>
                <w:sz w:val="16"/>
                <w:szCs w:val="16"/>
              </w:rPr>
              <w:t xml:space="preserve"> Phonemic Awareness program through modelling of the process at teacher meetings and instigation of demonstration classes.</w:t>
            </w:r>
          </w:p>
          <w:p w:rsidR="0059060B" w:rsidRPr="001B4538" w:rsidRDefault="0059060B" w:rsidP="00835147">
            <w:pPr>
              <w:pStyle w:val="ListParagraph"/>
              <w:numPr>
                <w:ilvl w:val="0"/>
                <w:numId w:val="14"/>
              </w:numPr>
              <w:spacing w:after="0" w:line="276" w:lineRule="auto"/>
              <w:rPr>
                <w:rFonts w:eastAsia="Times New Roman"/>
                <w:bCs w:val="0"/>
                <w:sz w:val="16"/>
                <w:szCs w:val="16"/>
                <w:lang w:eastAsia="zh-CN"/>
              </w:rPr>
            </w:pPr>
            <w:r>
              <w:rPr>
                <w:color w:val="000000"/>
                <w:sz w:val="16"/>
                <w:szCs w:val="16"/>
              </w:rPr>
              <w:t>The</w:t>
            </w:r>
            <w:r w:rsidRPr="0059060B">
              <w:rPr>
                <w:color w:val="000000"/>
                <w:sz w:val="16"/>
                <w:szCs w:val="16"/>
              </w:rPr>
              <w:t xml:space="preserve"> Case Management Approach (Lyn Sharratt) </w:t>
            </w:r>
            <w:r>
              <w:rPr>
                <w:color w:val="000000"/>
                <w:sz w:val="16"/>
                <w:szCs w:val="16"/>
              </w:rPr>
              <w:t>was not implemented across the school, after consultation with teachers.  Teachers preferred to e</w:t>
            </w:r>
            <w:r w:rsidR="00835147">
              <w:rPr>
                <w:color w:val="000000"/>
                <w:sz w:val="16"/>
                <w:szCs w:val="16"/>
              </w:rPr>
              <w:t>xtend the Conferencing approach -</w:t>
            </w:r>
            <w:r>
              <w:rPr>
                <w:color w:val="000000"/>
                <w:sz w:val="16"/>
                <w:szCs w:val="16"/>
              </w:rPr>
              <w:t xml:space="preserve"> </w:t>
            </w:r>
            <w:r w:rsidR="00835147">
              <w:rPr>
                <w:color w:val="000000"/>
                <w:sz w:val="16"/>
                <w:szCs w:val="16"/>
              </w:rPr>
              <w:t>the</w:t>
            </w:r>
            <w:r>
              <w:rPr>
                <w:color w:val="000000"/>
                <w:sz w:val="16"/>
                <w:szCs w:val="16"/>
              </w:rPr>
              <w:t xml:space="preserve"> school had developed </w:t>
            </w:r>
            <w:r w:rsidR="00BA2C13">
              <w:rPr>
                <w:color w:val="000000"/>
                <w:sz w:val="16"/>
                <w:szCs w:val="16"/>
              </w:rPr>
              <w:t xml:space="preserve">their own unique </w:t>
            </w:r>
            <w:r w:rsidR="00835147">
              <w:rPr>
                <w:color w:val="000000"/>
                <w:sz w:val="16"/>
                <w:szCs w:val="16"/>
              </w:rPr>
              <w:t xml:space="preserve">practice </w:t>
            </w:r>
            <w:r>
              <w:rPr>
                <w:color w:val="000000"/>
                <w:sz w:val="16"/>
                <w:szCs w:val="16"/>
              </w:rPr>
              <w:t>from the Leading Learning Agenda</w:t>
            </w:r>
            <w:r w:rsidR="00BA2C13">
              <w:rPr>
                <w:color w:val="000000"/>
                <w:sz w:val="16"/>
                <w:szCs w:val="16"/>
              </w:rPr>
              <w:t xml:space="preserve">. </w:t>
            </w:r>
          </w:p>
        </w:tc>
      </w:tr>
      <w:tr w:rsidR="004653A0" w:rsidRPr="004653A0" w:rsidTr="000C6EB2">
        <w:tc>
          <w:tcPr>
            <w:tcW w:w="2689" w:type="dxa"/>
          </w:tcPr>
          <w:p w:rsidR="004653A0" w:rsidRPr="004653A0" w:rsidRDefault="004653A0" w:rsidP="004653A0">
            <w:pPr>
              <w:spacing w:after="0"/>
              <w:rPr>
                <w:rFonts w:eastAsia="Times New Roman" w:cs="Times New Roman"/>
                <w:bCs w:val="0"/>
                <w:sz w:val="16"/>
                <w:szCs w:val="16"/>
              </w:rPr>
            </w:pPr>
            <w:r w:rsidRPr="004653A0">
              <w:rPr>
                <w:rFonts w:eastAsia="Times New Roman" w:cs="Times New Roman"/>
                <w:bCs w:val="0"/>
                <w:spacing w:val="10"/>
                <w:sz w:val="16"/>
                <w:szCs w:val="16"/>
                <w:lang w:val="en-US"/>
              </w:rPr>
              <w:lastRenderedPageBreak/>
              <w:t>2.</w:t>
            </w:r>
            <w:r w:rsidRPr="004653A0">
              <w:rPr>
                <w:rFonts w:eastAsiaTheme="minorEastAsia"/>
                <w:bCs w:val="0"/>
                <w:sz w:val="16"/>
                <w:szCs w:val="16"/>
                <w:lang w:eastAsia="zh-TW"/>
              </w:rPr>
              <w:t xml:space="preserve"> </w:t>
            </w:r>
            <w:r w:rsidR="00D052EB">
              <w:rPr>
                <w:rFonts w:eastAsia="Times New Roman" w:cs="Times New Roman"/>
                <w:bCs w:val="0"/>
                <w:sz w:val="16"/>
                <w:szCs w:val="16"/>
              </w:rPr>
              <w:t xml:space="preserve"> All students will achieve their numeracy expectation.</w:t>
            </w:r>
          </w:p>
        </w:tc>
        <w:tc>
          <w:tcPr>
            <w:tcW w:w="6520" w:type="dxa"/>
          </w:tcPr>
          <w:p w:rsidR="004653A0" w:rsidRDefault="00074CA7" w:rsidP="00074CA7">
            <w:pPr>
              <w:spacing w:after="0" w:line="276" w:lineRule="auto"/>
              <w:rPr>
                <w:rFonts w:eastAsia="Times New Roman"/>
                <w:bCs w:val="0"/>
                <w:sz w:val="16"/>
                <w:szCs w:val="16"/>
                <w:lang w:eastAsia="zh-CN"/>
              </w:rPr>
            </w:pPr>
            <w:r>
              <w:rPr>
                <w:rFonts w:eastAsia="Times New Roman"/>
                <w:bCs w:val="0"/>
                <w:sz w:val="16"/>
                <w:szCs w:val="16"/>
                <w:lang w:eastAsia="zh-CN"/>
              </w:rPr>
              <w:t>The Maths Professional Learning Community led the implementation of the Data Wall numeracy expectations.  The following actions were undertaken:</w:t>
            </w:r>
          </w:p>
          <w:p w:rsidR="00074CA7" w:rsidRPr="0021629E" w:rsidRDefault="00074CA7" w:rsidP="00074CA7">
            <w:pPr>
              <w:pStyle w:val="Body-Text"/>
              <w:numPr>
                <w:ilvl w:val="0"/>
                <w:numId w:val="17"/>
              </w:numPr>
              <w:spacing w:after="0"/>
              <w:rPr>
                <w:sz w:val="16"/>
                <w:szCs w:val="16"/>
              </w:rPr>
            </w:pPr>
            <w:r w:rsidRPr="00074CA7">
              <w:rPr>
                <w:color w:val="000000"/>
                <w:sz w:val="16"/>
                <w:szCs w:val="16"/>
              </w:rPr>
              <w:t>The Maths Profe</w:t>
            </w:r>
            <w:r>
              <w:rPr>
                <w:color w:val="000000"/>
                <w:sz w:val="16"/>
                <w:szCs w:val="16"/>
              </w:rPr>
              <w:t xml:space="preserve">ssional Learning Community </w:t>
            </w:r>
            <w:r w:rsidRPr="00074CA7">
              <w:rPr>
                <w:color w:val="000000"/>
                <w:sz w:val="16"/>
                <w:szCs w:val="16"/>
              </w:rPr>
              <w:t>develop</w:t>
            </w:r>
            <w:r>
              <w:rPr>
                <w:color w:val="000000"/>
                <w:sz w:val="16"/>
                <w:szCs w:val="16"/>
              </w:rPr>
              <w:t>ed</w:t>
            </w:r>
            <w:r w:rsidRPr="00074CA7">
              <w:rPr>
                <w:color w:val="000000"/>
                <w:sz w:val="16"/>
                <w:szCs w:val="16"/>
              </w:rPr>
              <w:t xml:space="preserve"> the Numeracy Data Wall</w:t>
            </w:r>
            <w:r>
              <w:rPr>
                <w:rFonts w:ascii="Verdana" w:hAnsi="Verdana"/>
                <w:color w:val="000000"/>
                <w:szCs w:val="19"/>
              </w:rPr>
              <w:t>.</w:t>
            </w:r>
          </w:p>
          <w:p w:rsidR="00074CA7" w:rsidRPr="0021629E" w:rsidRDefault="00835147" w:rsidP="0021629E">
            <w:pPr>
              <w:pStyle w:val="Body-Text"/>
              <w:numPr>
                <w:ilvl w:val="0"/>
                <w:numId w:val="17"/>
              </w:numPr>
              <w:spacing w:after="0"/>
              <w:rPr>
                <w:sz w:val="16"/>
                <w:szCs w:val="16"/>
              </w:rPr>
            </w:pPr>
            <w:r>
              <w:rPr>
                <w:sz w:val="16"/>
                <w:szCs w:val="16"/>
              </w:rPr>
              <w:t>The</w:t>
            </w:r>
            <w:r w:rsidR="0021629E" w:rsidRPr="00074CA7">
              <w:rPr>
                <w:color w:val="000000"/>
                <w:sz w:val="16"/>
                <w:szCs w:val="16"/>
              </w:rPr>
              <w:t xml:space="preserve"> Conferencing approach </w:t>
            </w:r>
            <w:r w:rsidR="0021629E">
              <w:rPr>
                <w:color w:val="000000"/>
                <w:sz w:val="16"/>
                <w:szCs w:val="16"/>
              </w:rPr>
              <w:t>was instigated for n</w:t>
            </w:r>
            <w:r w:rsidR="0021629E" w:rsidRPr="00074CA7">
              <w:rPr>
                <w:color w:val="000000"/>
                <w:sz w:val="16"/>
                <w:szCs w:val="16"/>
              </w:rPr>
              <w:t>umeracy expectations, with expectations displayed on the Data Wall for every student.</w:t>
            </w:r>
          </w:p>
          <w:p w:rsidR="00074CA7" w:rsidRPr="00074CA7" w:rsidRDefault="00074CA7" w:rsidP="0021629E">
            <w:pPr>
              <w:pStyle w:val="Body-Text"/>
              <w:numPr>
                <w:ilvl w:val="0"/>
                <w:numId w:val="17"/>
              </w:numPr>
              <w:spacing w:after="0"/>
              <w:rPr>
                <w:sz w:val="16"/>
                <w:szCs w:val="16"/>
              </w:rPr>
            </w:pPr>
            <w:r w:rsidRPr="00074CA7">
              <w:rPr>
                <w:color w:val="000000"/>
                <w:sz w:val="16"/>
                <w:szCs w:val="16"/>
              </w:rPr>
              <w:t>The Maths Prof</w:t>
            </w:r>
            <w:r w:rsidR="00C01481">
              <w:rPr>
                <w:color w:val="000000"/>
                <w:sz w:val="16"/>
                <w:szCs w:val="16"/>
              </w:rPr>
              <w:t>essional Learning Community</w:t>
            </w:r>
            <w:r w:rsidRPr="00074CA7">
              <w:rPr>
                <w:color w:val="000000"/>
                <w:sz w:val="16"/>
                <w:szCs w:val="16"/>
              </w:rPr>
              <w:t xml:space="preserve"> develop</w:t>
            </w:r>
            <w:r w:rsidR="00C01481">
              <w:rPr>
                <w:color w:val="000000"/>
                <w:sz w:val="16"/>
                <w:szCs w:val="16"/>
              </w:rPr>
              <w:t>ed</w:t>
            </w:r>
            <w:r w:rsidRPr="00074CA7">
              <w:rPr>
                <w:color w:val="000000"/>
                <w:sz w:val="16"/>
                <w:szCs w:val="16"/>
              </w:rPr>
              <w:t xml:space="preserve"> appropriate maths diagnostic tools and assessment materials to assist teachers in identifying numeracy baselines and the next learning step</w:t>
            </w:r>
            <w:r>
              <w:rPr>
                <w:color w:val="000000"/>
                <w:sz w:val="16"/>
                <w:szCs w:val="16"/>
              </w:rPr>
              <w:t>.</w:t>
            </w:r>
          </w:p>
          <w:p w:rsidR="00074CA7" w:rsidRPr="00074CA7" w:rsidRDefault="00835147" w:rsidP="0021629E">
            <w:pPr>
              <w:pStyle w:val="Body-Text"/>
              <w:numPr>
                <w:ilvl w:val="0"/>
                <w:numId w:val="17"/>
              </w:numPr>
              <w:spacing w:after="0"/>
              <w:rPr>
                <w:sz w:val="16"/>
                <w:szCs w:val="16"/>
              </w:rPr>
            </w:pPr>
            <w:r>
              <w:rPr>
                <w:color w:val="000000"/>
                <w:sz w:val="16"/>
                <w:szCs w:val="16"/>
              </w:rPr>
              <w:t xml:space="preserve">The </w:t>
            </w:r>
            <w:r w:rsidR="00074CA7" w:rsidRPr="00074CA7">
              <w:rPr>
                <w:color w:val="000000"/>
                <w:sz w:val="16"/>
                <w:szCs w:val="16"/>
              </w:rPr>
              <w:t>Maths Prof</w:t>
            </w:r>
            <w:r w:rsidR="00C01481">
              <w:rPr>
                <w:color w:val="000000"/>
                <w:sz w:val="16"/>
                <w:szCs w:val="16"/>
              </w:rPr>
              <w:t>essional Learning Community</w:t>
            </w:r>
            <w:r w:rsidR="00074CA7" w:rsidRPr="00074CA7">
              <w:rPr>
                <w:color w:val="000000"/>
                <w:sz w:val="16"/>
                <w:szCs w:val="16"/>
              </w:rPr>
              <w:t xml:space="preserve"> develop</w:t>
            </w:r>
            <w:r w:rsidR="00C01481">
              <w:rPr>
                <w:color w:val="000000"/>
                <w:sz w:val="16"/>
                <w:szCs w:val="16"/>
              </w:rPr>
              <w:t>ed</w:t>
            </w:r>
            <w:r w:rsidR="00074CA7" w:rsidRPr="00074CA7">
              <w:rPr>
                <w:color w:val="000000"/>
                <w:sz w:val="16"/>
                <w:szCs w:val="16"/>
              </w:rPr>
              <w:t xml:space="preserve"> resources to facilitate conferencing sessions with teachers to create numeracy expectations.</w:t>
            </w:r>
          </w:p>
          <w:p w:rsidR="00074CA7" w:rsidRPr="00074CA7" w:rsidRDefault="00074CA7" w:rsidP="00074CA7">
            <w:pPr>
              <w:pStyle w:val="Body-Text"/>
              <w:numPr>
                <w:ilvl w:val="0"/>
                <w:numId w:val="17"/>
              </w:numPr>
              <w:spacing w:before="0" w:after="0"/>
              <w:rPr>
                <w:sz w:val="16"/>
                <w:szCs w:val="16"/>
              </w:rPr>
            </w:pPr>
            <w:r w:rsidRPr="00074CA7">
              <w:rPr>
                <w:color w:val="000000"/>
                <w:sz w:val="16"/>
                <w:szCs w:val="16"/>
              </w:rPr>
              <w:t>Targ</w:t>
            </w:r>
            <w:r w:rsidR="00C01481">
              <w:rPr>
                <w:color w:val="000000"/>
                <w:sz w:val="16"/>
                <w:szCs w:val="16"/>
              </w:rPr>
              <w:t>eted professional development was</w:t>
            </w:r>
            <w:r w:rsidRPr="00074CA7">
              <w:rPr>
                <w:color w:val="000000"/>
                <w:sz w:val="16"/>
                <w:szCs w:val="16"/>
              </w:rPr>
              <w:t xml:space="preserve"> provided to deepen teachers’ understandings of the mathematics learning area and provide targeted and scaffolded instruction.</w:t>
            </w:r>
          </w:p>
        </w:tc>
      </w:tr>
    </w:tbl>
    <w:p w:rsidR="004653A0" w:rsidRDefault="004653A0" w:rsidP="004653A0">
      <w:pPr>
        <w:jc w:val="both"/>
        <w:rPr>
          <w:rFonts w:eastAsia="SimSun"/>
          <w:bCs w:val="0"/>
          <w:color w:val="FF0000"/>
          <w:sz w:val="16"/>
          <w:szCs w:val="16"/>
          <w:lang w:eastAsia="zh-CN"/>
        </w:rPr>
      </w:pPr>
    </w:p>
    <w:p w:rsidR="00444819" w:rsidRDefault="00444819" w:rsidP="00444819">
      <w:pPr>
        <w:pStyle w:val="Body-Text"/>
        <w:rPr>
          <w:i/>
          <w:u w:val="single"/>
        </w:rPr>
      </w:pPr>
      <w:r w:rsidRPr="00444819">
        <w:rPr>
          <w:i/>
          <w:u w:val="single"/>
        </w:rPr>
        <w:t>Teaching and Learning</w:t>
      </w:r>
    </w:p>
    <w:p w:rsidR="00444819" w:rsidRDefault="00651A35" w:rsidP="00B378BF">
      <w:pPr>
        <w:pStyle w:val="Body-Text"/>
        <w:jc w:val="both"/>
      </w:pPr>
      <w:r>
        <w:t>In 2018, the Local Consultative Committee reviewed processes of feedback, supervision and engagement bet</w:t>
      </w:r>
      <w:r w:rsidR="00B378BF">
        <w:t>ween the Leadership Team and</w:t>
      </w:r>
      <w:r>
        <w:t xml:space="preserve"> staff members.  A Collegial Engagement document was written to reflect the current supervision and feedb</w:t>
      </w:r>
      <w:r w:rsidR="001023C8">
        <w:t>ack processes and was agreed up</w:t>
      </w:r>
      <w:r>
        <w:t xml:space="preserve">on </w:t>
      </w:r>
      <w:r w:rsidR="00C94EA0">
        <w:t xml:space="preserve">by staff members. </w:t>
      </w:r>
    </w:p>
    <w:p w:rsidR="00C94EA0" w:rsidRDefault="0029743D" w:rsidP="00B378BF">
      <w:pPr>
        <w:pStyle w:val="Body-Text"/>
        <w:jc w:val="both"/>
      </w:pPr>
      <w:r>
        <w:t xml:space="preserve">A number of </w:t>
      </w:r>
      <w:r w:rsidR="00C94EA0">
        <w:t>Profession</w:t>
      </w:r>
      <w:r w:rsidR="000A3A08">
        <w:t>al Learning Communities</w:t>
      </w:r>
      <w:r w:rsidR="00C94EA0">
        <w:t xml:space="preserve"> (PLCs) were</w:t>
      </w:r>
      <w:r>
        <w:t xml:space="preserve"> established</w:t>
      </w:r>
      <w:r w:rsidR="00C94EA0">
        <w:t xml:space="preserve"> </w:t>
      </w:r>
      <w:r w:rsidR="000A3A08">
        <w:t xml:space="preserve">during 2018 to review </w:t>
      </w:r>
      <w:r w:rsidR="00C94EA0">
        <w:t>targeted documents regarding curriculum implementa</w:t>
      </w:r>
      <w:r w:rsidR="000A3A08">
        <w:t>tion.  Our</w:t>
      </w:r>
      <w:r w:rsidR="003E76BC">
        <w:t xml:space="preserve"> Human Relationships Program - </w:t>
      </w:r>
      <w:r w:rsidR="000A3A08">
        <w:t>a program designed to deliver information and build skills around relationships</w:t>
      </w:r>
      <w:r w:rsidR="003E76BC">
        <w:t xml:space="preserve"> for young people with disabilities</w:t>
      </w:r>
      <w:r w:rsidR="00B378BF">
        <w:t xml:space="preserve"> -</w:t>
      </w:r>
      <w:r w:rsidR="003E76BC">
        <w:t xml:space="preserve"> </w:t>
      </w:r>
      <w:r>
        <w:t xml:space="preserve">was examined and evaluated. </w:t>
      </w:r>
      <w:r w:rsidR="003E76BC">
        <w:t xml:space="preserve"> Adjustments were made to the program to reflect current community trends and standards.  The three-year whole school curriculum plan for the Junior Secondary Cohort</w:t>
      </w:r>
      <w:r w:rsidR="00B378BF">
        <w:t xml:space="preserve"> and the Interactions Cohort were</w:t>
      </w:r>
      <w:r w:rsidR="003E76BC">
        <w:t xml:space="preserve"> also evaluated. </w:t>
      </w:r>
      <w:r>
        <w:t xml:space="preserve"> Teachers engaged with the Australian Curriculum and ensured that units were aligned with appropriate levels of differentiation and that all content was age-equivalent. </w:t>
      </w:r>
      <w:r w:rsidR="00DE4DB0">
        <w:t>Although the PLCs were succ</w:t>
      </w:r>
      <w:r w:rsidR="00B378BF">
        <w:t>essful in formulating the three-</w:t>
      </w:r>
      <w:r w:rsidR="00DE4DB0">
        <w:t xml:space="preserve">year plans, further engagement is required and this will continue into 2019. </w:t>
      </w:r>
      <w:r>
        <w:t xml:space="preserve"> </w:t>
      </w:r>
    </w:p>
    <w:p w:rsidR="005B3F60" w:rsidRPr="00444819" w:rsidRDefault="005B3F60" w:rsidP="00B378BF">
      <w:pPr>
        <w:pStyle w:val="Body-Text"/>
        <w:jc w:val="both"/>
      </w:pPr>
      <w:r>
        <w:t xml:space="preserve">The first draft of the Clifford Park Special School Charter was completed by the end of 2018.  Our Charter records all of our practices, processes and documentation in regard to what we do and how we do it.  Engagement with community, teaching the required curriculum, knowing our learners and our agreed pedagogical practices are the four areas that </w:t>
      </w:r>
      <w:r w:rsidR="00B378BF">
        <w:t>are considered in this whole school document.</w:t>
      </w:r>
      <w:r>
        <w:t xml:space="preserve"> </w:t>
      </w:r>
    </w:p>
    <w:p w:rsidR="000126B0" w:rsidRDefault="00EC3623" w:rsidP="00B378BF">
      <w:pPr>
        <w:pStyle w:val="Body-Text"/>
        <w:jc w:val="both"/>
        <w:rPr>
          <w:i/>
          <w:u w:val="single"/>
        </w:rPr>
      </w:pPr>
      <w:r w:rsidRPr="00EC3623">
        <w:rPr>
          <w:i/>
          <w:u w:val="single"/>
        </w:rPr>
        <w:t>School Community Partnerships</w:t>
      </w:r>
    </w:p>
    <w:p w:rsidR="005D752D" w:rsidRDefault="00EC3623" w:rsidP="00B378BF">
      <w:pPr>
        <w:pStyle w:val="Body-Text"/>
        <w:jc w:val="both"/>
      </w:pPr>
      <w:r>
        <w:t>Three targets were</w:t>
      </w:r>
      <w:r w:rsidR="00B378BF">
        <w:t xml:space="preserve"> set for achievement during 2018</w:t>
      </w:r>
      <w:r>
        <w:t xml:space="preserve">. </w:t>
      </w:r>
    </w:p>
    <w:p w:rsidR="00165C13" w:rsidRDefault="00EC3623" w:rsidP="00B378BF">
      <w:pPr>
        <w:pStyle w:val="Body-Text"/>
        <w:numPr>
          <w:ilvl w:val="0"/>
          <w:numId w:val="19"/>
        </w:numPr>
        <w:jc w:val="both"/>
      </w:pPr>
      <w:r>
        <w:t>The initiation of conversations between Clifford Park Special School and one of its feeder schools</w:t>
      </w:r>
      <w:r w:rsidR="00762FA8">
        <w:t>,</w:t>
      </w:r>
      <w:r>
        <w:t xml:space="preserve"> Toowoomba West Special School, to impr</w:t>
      </w:r>
      <w:r w:rsidR="00762FA8">
        <w:t>ove transitions for students</w:t>
      </w:r>
      <w:r w:rsidR="00165C13">
        <w:t xml:space="preserve">.  </w:t>
      </w:r>
      <w:r w:rsidR="00762FA8">
        <w:t>Meet</w:t>
      </w:r>
      <w:r w:rsidR="007B7DC1">
        <w:t xml:space="preserve">ings between the two principals resulted with a new transition plan being formulated.  </w:t>
      </w:r>
      <w:r w:rsidR="005D752D">
        <w:t xml:space="preserve">Processes that encompassed </w:t>
      </w:r>
      <w:r w:rsidR="00165C13">
        <w:t xml:space="preserve">how pertinent information is passed from one school to the next, how teachers can engage with other teachers and how transition of students, if appropriate, can occur successfully between the two school were implemented at the end of 2018.  In addition, the processes of transitioning students and the passing of </w:t>
      </w:r>
      <w:r w:rsidR="00B378BF">
        <w:t>important</w:t>
      </w:r>
      <w:r w:rsidR="00165C13">
        <w:t xml:space="preserve"> information, including evidence of learning, was also reviewed for other mainstream feeder primary schools.</w:t>
      </w:r>
      <w:r w:rsidR="00B378BF">
        <w:t xml:space="preserve">  </w:t>
      </w:r>
    </w:p>
    <w:p w:rsidR="00EC3623" w:rsidRPr="00DB5214" w:rsidRDefault="00165C13" w:rsidP="00B378BF">
      <w:pPr>
        <w:pStyle w:val="Body-Text"/>
        <w:numPr>
          <w:ilvl w:val="0"/>
          <w:numId w:val="19"/>
        </w:numPr>
        <w:jc w:val="both"/>
      </w:pPr>
      <w:r>
        <w:t xml:space="preserve">The collection of accurate data across two points in time to </w:t>
      </w:r>
      <w:r w:rsidRPr="001023C8">
        <w:t>track</w:t>
      </w:r>
      <w:r w:rsidR="005D752D" w:rsidRPr="001023C8">
        <w:t xml:space="preserve"> </w:t>
      </w:r>
      <w:r w:rsidRPr="001023C8">
        <w:rPr>
          <w:rFonts w:eastAsia="Times New Roman"/>
          <w:bCs w:val="0"/>
          <w:color w:val="000000"/>
          <w:szCs w:val="19"/>
          <w:lang w:eastAsia="zh-TW"/>
        </w:rPr>
        <w:t>post school</w:t>
      </w:r>
      <w:r w:rsidRPr="00EC3623">
        <w:rPr>
          <w:rFonts w:ascii="Verdana" w:eastAsia="Times New Roman" w:hAnsi="Verdana" w:cs="Times New Roman"/>
          <w:bCs w:val="0"/>
          <w:color w:val="000000"/>
          <w:szCs w:val="19"/>
          <w:lang w:eastAsia="zh-TW"/>
        </w:rPr>
        <w:t xml:space="preserve"> </w:t>
      </w:r>
      <w:r w:rsidRPr="00EC3623">
        <w:rPr>
          <w:rFonts w:eastAsia="Times New Roman"/>
          <w:bCs w:val="0"/>
          <w:color w:val="000000"/>
          <w:szCs w:val="19"/>
          <w:lang w:eastAsia="zh-TW"/>
        </w:rPr>
        <w:t>destinations for students that graduated in the previous year</w:t>
      </w:r>
      <w:r>
        <w:rPr>
          <w:rFonts w:eastAsia="Times New Roman"/>
          <w:bCs w:val="0"/>
          <w:color w:val="000000"/>
          <w:szCs w:val="19"/>
          <w:lang w:eastAsia="zh-TW"/>
        </w:rPr>
        <w:t xml:space="preserve">.   A tool was developed to </w:t>
      </w:r>
      <w:r w:rsidR="00DB5214">
        <w:rPr>
          <w:rFonts w:eastAsia="Times New Roman"/>
          <w:bCs w:val="0"/>
          <w:color w:val="000000"/>
          <w:szCs w:val="19"/>
          <w:lang w:eastAsia="zh-TW"/>
        </w:rPr>
        <w:t>gather information regarding students that graduated at the end of 2017.  Although some information was entered, inherent difficulties in</w:t>
      </w:r>
      <w:r w:rsidR="00B378BF">
        <w:rPr>
          <w:rFonts w:eastAsia="Times New Roman"/>
          <w:bCs w:val="0"/>
          <w:color w:val="000000"/>
          <w:szCs w:val="19"/>
          <w:lang w:eastAsia="zh-TW"/>
        </w:rPr>
        <w:t xml:space="preserve"> finding where ex-students are and time to research, </w:t>
      </w:r>
      <w:r w:rsidR="00DB5214">
        <w:rPr>
          <w:rFonts w:eastAsia="Times New Roman"/>
          <w:bCs w:val="0"/>
          <w:color w:val="000000"/>
          <w:szCs w:val="19"/>
          <w:lang w:eastAsia="zh-TW"/>
        </w:rPr>
        <w:t xml:space="preserve">made collecting accurate data more difficult.  Continuation of this target into 2019 with some research into improving its success will be a priority. </w:t>
      </w:r>
    </w:p>
    <w:p w:rsidR="00EC3623" w:rsidRPr="00B378BF" w:rsidRDefault="00DB5214" w:rsidP="00B378BF">
      <w:pPr>
        <w:pStyle w:val="Body-Text"/>
        <w:numPr>
          <w:ilvl w:val="0"/>
          <w:numId w:val="19"/>
        </w:numPr>
        <w:jc w:val="both"/>
      </w:pPr>
      <w:r w:rsidRPr="00B378BF">
        <w:rPr>
          <w:rFonts w:eastAsia="Times New Roman"/>
          <w:bCs w:val="0"/>
          <w:color w:val="000000"/>
          <w:szCs w:val="19"/>
          <w:lang w:eastAsia="zh-TW"/>
        </w:rPr>
        <w:t>Systems around post s</w:t>
      </w:r>
      <w:r w:rsidR="001023C8">
        <w:rPr>
          <w:rFonts w:eastAsia="Times New Roman"/>
          <w:bCs w:val="0"/>
          <w:color w:val="000000"/>
          <w:szCs w:val="19"/>
          <w:lang w:eastAsia="zh-TW"/>
        </w:rPr>
        <w:t xml:space="preserve">chool transition programs to be </w:t>
      </w:r>
      <w:r w:rsidRPr="00B378BF">
        <w:rPr>
          <w:rFonts w:eastAsia="Times New Roman"/>
          <w:bCs w:val="0"/>
          <w:color w:val="000000"/>
          <w:szCs w:val="19"/>
          <w:lang w:eastAsia="zh-TW"/>
        </w:rPr>
        <w:t>updated in line with the changing landscape</w:t>
      </w:r>
      <w:r w:rsidR="001023C8">
        <w:rPr>
          <w:rFonts w:eastAsia="Times New Roman"/>
          <w:bCs w:val="0"/>
          <w:color w:val="000000"/>
          <w:szCs w:val="19"/>
          <w:lang w:eastAsia="zh-TW"/>
        </w:rPr>
        <w:t xml:space="preserve">, </w:t>
      </w:r>
      <w:r w:rsidR="00B378BF">
        <w:rPr>
          <w:rFonts w:eastAsia="Times New Roman"/>
          <w:bCs w:val="0"/>
          <w:color w:val="000000"/>
          <w:szCs w:val="19"/>
          <w:lang w:eastAsia="zh-TW"/>
        </w:rPr>
        <w:t xml:space="preserve"> particularly </w:t>
      </w:r>
      <w:r w:rsidRPr="00B378BF">
        <w:rPr>
          <w:rFonts w:eastAsia="Times New Roman"/>
          <w:bCs w:val="0"/>
          <w:color w:val="000000"/>
          <w:szCs w:val="19"/>
          <w:lang w:eastAsia="zh-TW"/>
        </w:rPr>
        <w:t>in regard</w:t>
      </w:r>
      <w:r w:rsidR="00B378BF">
        <w:rPr>
          <w:rFonts w:eastAsia="Times New Roman"/>
          <w:bCs w:val="0"/>
          <w:color w:val="000000"/>
          <w:szCs w:val="19"/>
          <w:lang w:eastAsia="zh-TW"/>
        </w:rPr>
        <w:t>s</w:t>
      </w:r>
      <w:r w:rsidRPr="00B378BF">
        <w:rPr>
          <w:rFonts w:eastAsia="Times New Roman"/>
          <w:bCs w:val="0"/>
          <w:color w:val="000000"/>
          <w:szCs w:val="19"/>
          <w:lang w:eastAsia="zh-TW"/>
        </w:rPr>
        <w:t xml:space="preserve"> to </w:t>
      </w:r>
      <w:r w:rsidR="00B378BF">
        <w:rPr>
          <w:rFonts w:eastAsia="Times New Roman"/>
          <w:bCs w:val="0"/>
          <w:color w:val="000000"/>
          <w:szCs w:val="19"/>
          <w:lang w:eastAsia="zh-TW"/>
        </w:rPr>
        <w:t xml:space="preserve">The </w:t>
      </w:r>
      <w:r w:rsidRPr="00B378BF">
        <w:rPr>
          <w:rFonts w:eastAsia="Times New Roman"/>
          <w:bCs w:val="0"/>
          <w:color w:val="000000"/>
          <w:szCs w:val="19"/>
          <w:lang w:eastAsia="zh-TW"/>
        </w:rPr>
        <w:t>National Disability Insurance Scheme (NDIS</w:t>
      </w:r>
      <w:r w:rsidR="00F367DB" w:rsidRPr="00B378BF">
        <w:rPr>
          <w:rFonts w:eastAsia="Times New Roman"/>
          <w:bCs w:val="0"/>
          <w:color w:val="000000"/>
          <w:szCs w:val="19"/>
          <w:lang w:eastAsia="zh-TW"/>
        </w:rPr>
        <w:t>)</w:t>
      </w:r>
      <w:r w:rsidR="00B378BF">
        <w:rPr>
          <w:rFonts w:eastAsia="Times New Roman"/>
          <w:bCs w:val="0"/>
          <w:color w:val="000000"/>
          <w:szCs w:val="19"/>
          <w:lang w:eastAsia="zh-TW"/>
        </w:rPr>
        <w:t>.</w:t>
      </w:r>
      <w:r w:rsidR="00F367DB" w:rsidRPr="00B378BF">
        <w:rPr>
          <w:rFonts w:eastAsia="Times New Roman"/>
          <w:bCs w:val="0"/>
          <w:color w:val="000000"/>
          <w:szCs w:val="19"/>
          <w:lang w:eastAsia="zh-TW"/>
        </w:rPr>
        <w:t xml:space="preserve">  The school worked closely with parents, Carer’s Queensland, Disability Service Providers, employment agencies and community businesses to ensure students had a smooth and successful transition into post school options.  Our </w:t>
      </w:r>
      <w:r w:rsidR="00F367DB" w:rsidRPr="00B378BF">
        <w:rPr>
          <w:rFonts w:eastAsia="Times New Roman"/>
          <w:bCs w:val="0"/>
          <w:color w:val="000000"/>
          <w:szCs w:val="19"/>
          <w:lang w:eastAsia="zh-TW"/>
        </w:rPr>
        <w:lastRenderedPageBreak/>
        <w:t xml:space="preserve">relationship with community organisations has become stronger and our increased credibility in the NDIS landscape has led to positive outcomes for students and their families. </w:t>
      </w:r>
    </w:p>
    <w:tbl>
      <w:tblPr>
        <w:tblW w:w="8918"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8873"/>
        <w:gridCol w:w="45"/>
      </w:tblGrid>
      <w:tr w:rsidR="00265F02" w:rsidRPr="00265F02" w:rsidTr="00265F02">
        <w:trPr>
          <w:gridAfter w:val="1"/>
          <w:tblCellSpacing w:w="15" w:type="dxa"/>
        </w:trPr>
        <w:tc>
          <w:tcPr>
            <w:tcW w:w="0" w:type="auto"/>
            <w:hideMark/>
          </w:tcPr>
          <w:p w:rsidR="00265F02" w:rsidRPr="001023C8" w:rsidRDefault="00265F02" w:rsidP="00265F02">
            <w:pPr>
              <w:spacing w:after="0"/>
              <w:rPr>
                <w:rFonts w:eastAsia="Times New Roman"/>
                <w:bCs w:val="0"/>
                <w:color w:val="000000"/>
                <w:szCs w:val="19"/>
                <w:lang w:eastAsia="zh-TW"/>
              </w:rPr>
            </w:pPr>
          </w:p>
          <w:p w:rsidR="00265F02" w:rsidRDefault="00962E24" w:rsidP="00265F02">
            <w:pPr>
              <w:spacing w:after="0"/>
              <w:rPr>
                <w:rFonts w:eastAsia="Times New Roman"/>
                <w:b/>
                <w:bCs w:val="0"/>
                <w:color w:val="000000"/>
                <w:szCs w:val="19"/>
                <w:u w:val="single"/>
                <w:lang w:eastAsia="zh-TW"/>
              </w:rPr>
            </w:pPr>
            <w:r w:rsidRPr="001023C8">
              <w:rPr>
                <w:rFonts w:eastAsia="Times New Roman"/>
                <w:b/>
                <w:bCs w:val="0"/>
                <w:color w:val="000000"/>
                <w:szCs w:val="19"/>
                <w:u w:val="single"/>
                <w:lang w:eastAsia="zh-TW"/>
              </w:rPr>
              <w:t>Denise Kable Campus</w:t>
            </w:r>
          </w:p>
          <w:p w:rsidR="001023C8" w:rsidRPr="001023C8" w:rsidRDefault="001023C8" w:rsidP="00265F02">
            <w:pPr>
              <w:spacing w:after="0"/>
              <w:rPr>
                <w:rFonts w:eastAsia="Times New Roman"/>
                <w:b/>
                <w:bCs w:val="0"/>
                <w:color w:val="000000"/>
                <w:szCs w:val="19"/>
                <w:u w:val="single"/>
                <w:lang w:eastAsia="zh-TW"/>
              </w:rPr>
            </w:pPr>
          </w:p>
          <w:p w:rsidR="00EA7C33" w:rsidRPr="001023C8" w:rsidRDefault="00962E24" w:rsidP="00265F02">
            <w:pPr>
              <w:spacing w:after="0"/>
              <w:rPr>
                <w:rFonts w:eastAsia="Times New Roman"/>
                <w:bCs w:val="0"/>
                <w:color w:val="000000"/>
                <w:szCs w:val="19"/>
                <w:lang w:eastAsia="zh-TW"/>
              </w:rPr>
            </w:pPr>
            <w:r w:rsidRPr="001023C8">
              <w:rPr>
                <w:rFonts w:eastAsia="Times New Roman"/>
                <w:bCs w:val="0"/>
                <w:color w:val="000000"/>
                <w:szCs w:val="19"/>
                <w:lang w:eastAsia="zh-TW"/>
              </w:rPr>
              <w:t>Four major p</w:t>
            </w:r>
            <w:r w:rsidR="001023C8">
              <w:rPr>
                <w:rFonts w:eastAsia="Times New Roman"/>
                <w:bCs w:val="0"/>
                <w:color w:val="000000"/>
                <w:szCs w:val="19"/>
                <w:lang w:eastAsia="zh-TW"/>
              </w:rPr>
              <w:t>riorities were selected for 2018</w:t>
            </w:r>
            <w:r w:rsidRPr="001023C8">
              <w:rPr>
                <w:rFonts w:eastAsia="Times New Roman"/>
                <w:bCs w:val="0"/>
                <w:color w:val="000000"/>
                <w:szCs w:val="19"/>
                <w:lang w:eastAsia="zh-TW"/>
              </w:rPr>
              <w:t xml:space="preserve"> and were a direct outcome of the Scho</w:t>
            </w:r>
            <w:r w:rsidR="00EA7C33" w:rsidRPr="001023C8">
              <w:rPr>
                <w:rFonts w:eastAsia="Times New Roman"/>
                <w:bCs w:val="0"/>
                <w:color w:val="000000"/>
                <w:szCs w:val="19"/>
                <w:lang w:eastAsia="zh-TW"/>
              </w:rPr>
              <w:t>ol Review process:</w:t>
            </w:r>
          </w:p>
          <w:p w:rsidR="00FE469A" w:rsidRPr="001023C8" w:rsidRDefault="00FE469A" w:rsidP="00265F02">
            <w:pPr>
              <w:spacing w:after="0"/>
              <w:rPr>
                <w:rFonts w:eastAsia="Times New Roman"/>
                <w:bCs w:val="0"/>
                <w:color w:val="000000"/>
                <w:szCs w:val="19"/>
                <w:lang w:eastAsia="zh-TW"/>
              </w:rPr>
            </w:pPr>
          </w:p>
          <w:p w:rsidR="00265F02" w:rsidRPr="001023C8" w:rsidRDefault="00265F02" w:rsidP="00FE469A">
            <w:pPr>
              <w:pStyle w:val="ListParagraph"/>
              <w:numPr>
                <w:ilvl w:val="0"/>
                <w:numId w:val="27"/>
              </w:numPr>
              <w:spacing w:after="0"/>
              <w:rPr>
                <w:rFonts w:eastAsia="Times New Roman"/>
                <w:bCs w:val="0"/>
                <w:i/>
                <w:color w:val="000000"/>
                <w:szCs w:val="19"/>
                <w:lang w:eastAsia="zh-TW"/>
              </w:rPr>
            </w:pPr>
            <w:r w:rsidRPr="001023C8">
              <w:rPr>
                <w:rFonts w:eastAsia="Times New Roman"/>
                <w:bCs w:val="0"/>
                <w:i/>
                <w:color w:val="000000"/>
                <w:szCs w:val="19"/>
                <w:lang w:eastAsia="zh-TW"/>
              </w:rPr>
              <w:t>An Individual Curriculum Plan is developed for all students who require one.</w:t>
            </w:r>
          </w:p>
          <w:p w:rsidR="00FE469A" w:rsidRPr="001023C8" w:rsidRDefault="00FE469A" w:rsidP="00FE469A">
            <w:pPr>
              <w:pStyle w:val="ListParagraph"/>
              <w:spacing w:after="0"/>
              <w:rPr>
                <w:rFonts w:eastAsia="Times New Roman"/>
                <w:bCs w:val="0"/>
                <w:color w:val="000000"/>
                <w:szCs w:val="19"/>
                <w:lang w:eastAsia="zh-TW"/>
              </w:rPr>
            </w:pPr>
            <w:r w:rsidRPr="001023C8">
              <w:rPr>
                <w:rFonts w:eastAsia="Times New Roman"/>
                <w:bCs w:val="0"/>
                <w:color w:val="000000"/>
                <w:szCs w:val="19"/>
                <w:lang w:eastAsia="zh-TW"/>
              </w:rPr>
              <w:t>Students who are enrolled at another campus and have an ICP were flagged to continue the planning process at DKC. Processes are beginning to be developed on how the ICP can be act</w:t>
            </w:r>
            <w:r w:rsidR="001023C8">
              <w:rPr>
                <w:rFonts w:eastAsia="Times New Roman"/>
                <w:bCs w:val="0"/>
                <w:color w:val="000000"/>
                <w:szCs w:val="19"/>
                <w:lang w:eastAsia="zh-TW"/>
              </w:rPr>
              <w:t>ed upon on a school level at Denise Kable Campus</w:t>
            </w:r>
            <w:r w:rsidRPr="001023C8">
              <w:rPr>
                <w:rFonts w:eastAsia="Times New Roman"/>
                <w:bCs w:val="0"/>
                <w:color w:val="000000"/>
                <w:szCs w:val="19"/>
                <w:lang w:eastAsia="zh-TW"/>
              </w:rPr>
              <w:t xml:space="preserve">. </w:t>
            </w:r>
          </w:p>
        </w:tc>
      </w:tr>
      <w:tr w:rsidR="00265F02" w:rsidRPr="00265F02" w:rsidTr="00265F02">
        <w:trPr>
          <w:gridAfter w:val="1"/>
          <w:tblCellSpacing w:w="15" w:type="dxa"/>
        </w:trPr>
        <w:tc>
          <w:tcPr>
            <w:tcW w:w="0" w:type="auto"/>
            <w:hideMark/>
          </w:tcPr>
          <w:p w:rsidR="00265F02" w:rsidRPr="001023C8" w:rsidRDefault="00265F02" w:rsidP="00FE469A">
            <w:pPr>
              <w:pStyle w:val="ListParagraph"/>
              <w:numPr>
                <w:ilvl w:val="0"/>
                <w:numId w:val="27"/>
              </w:numPr>
              <w:spacing w:after="0"/>
              <w:rPr>
                <w:rFonts w:eastAsia="Times New Roman"/>
                <w:bCs w:val="0"/>
                <w:i/>
                <w:color w:val="000000"/>
                <w:szCs w:val="19"/>
                <w:lang w:eastAsia="zh-TW"/>
              </w:rPr>
            </w:pPr>
            <w:r w:rsidRPr="001023C8">
              <w:rPr>
                <w:rFonts w:eastAsia="Times New Roman"/>
                <w:bCs w:val="0"/>
                <w:i/>
                <w:color w:val="000000"/>
                <w:szCs w:val="19"/>
                <w:lang w:eastAsia="zh-TW"/>
              </w:rPr>
              <w:t xml:space="preserve">Reporting </w:t>
            </w:r>
            <w:r w:rsidR="00FE469A" w:rsidRPr="001023C8">
              <w:rPr>
                <w:rFonts w:eastAsia="Times New Roman"/>
                <w:bCs w:val="0"/>
                <w:i/>
                <w:color w:val="000000"/>
                <w:szCs w:val="19"/>
                <w:lang w:eastAsia="zh-TW"/>
              </w:rPr>
              <w:t>of student outcomes uses a five-</w:t>
            </w:r>
            <w:r w:rsidRPr="001023C8">
              <w:rPr>
                <w:rFonts w:eastAsia="Times New Roman"/>
                <w:bCs w:val="0"/>
                <w:i/>
                <w:color w:val="000000"/>
                <w:szCs w:val="19"/>
                <w:lang w:eastAsia="zh-TW"/>
              </w:rPr>
              <w:t>point scale.</w:t>
            </w:r>
          </w:p>
          <w:p w:rsidR="00FE469A" w:rsidRPr="001023C8" w:rsidRDefault="00FE469A" w:rsidP="001023C8">
            <w:pPr>
              <w:pStyle w:val="ListParagraph"/>
              <w:spacing w:after="0"/>
              <w:rPr>
                <w:rFonts w:eastAsia="Times New Roman"/>
                <w:bCs w:val="0"/>
                <w:color w:val="000000"/>
                <w:szCs w:val="19"/>
                <w:lang w:eastAsia="zh-TW"/>
              </w:rPr>
            </w:pPr>
            <w:r w:rsidRPr="001023C8">
              <w:rPr>
                <w:rFonts w:eastAsia="Times New Roman"/>
                <w:bCs w:val="0"/>
                <w:color w:val="000000"/>
                <w:szCs w:val="19"/>
                <w:lang w:eastAsia="zh-TW"/>
              </w:rPr>
              <w:t>Reporting standards at DKC were previously</w:t>
            </w:r>
            <w:r w:rsidR="001023C8">
              <w:rPr>
                <w:rFonts w:eastAsia="Times New Roman"/>
                <w:bCs w:val="0"/>
                <w:color w:val="000000"/>
                <w:szCs w:val="19"/>
                <w:lang w:eastAsia="zh-TW"/>
              </w:rPr>
              <w:t xml:space="preserve"> on a four-point scale.  In 2018</w:t>
            </w:r>
            <w:r w:rsidRPr="001023C8">
              <w:rPr>
                <w:rFonts w:eastAsia="Times New Roman"/>
                <w:bCs w:val="0"/>
                <w:color w:val="000000"/>
                <w:szCs w:val="19"/>
                <w:lang w:eastAsia="zh-TW"/>
              </w:rPr>
              <w:t xml:space="preserve"> a five-point scale was developed.  Further discussions </w:t>
            </w:r>
            <w:r w:rsidR="001023C8">
              <w:rPr>
                <w:rFonts w:eastAsia="Times New Roman"/>
                <w:bCs w:val="0"/>
                <w:color w:val="000000"/>
                <w:szCs w:val="19"/>
                <w:lang w:eastAsia="zh-TW"/>
              </w:rPr>
              <w:t>are</w:t>
            </w:r>
            <w:r w:rsidRPr="001023C8">
              <w:rPr>
                <w:rFonts w:eastAsia="Times New Roman"/>
                <w:bCs w:val="0"/>
                <w:color w:val="000000"/>
                <w:szCs w:val="19"/>
                <w:lang w:eastAsia="zh-TW"/>
              </w:rPr>
              <w:t xml:space="preserve"> being held to see if the five-point scale should reflect Australian Curriculum reporting standards as defined in </w:t>
            </w:r>
            <w:r w:rsidR="009C65D4" w:rsidRPr="001023C8">
              <w:rPr>
                <w:rFonts w:eastAsia="Times New Roman"/>
                <w:bCs w:val="0"/>
                <w:color w:val="000000"/>
                <w:szCs w:val="19"/>
                <w:lang w:eastAsia="zh-TW"/>
              </w:rPr>
              <w:t xml:space="preserve">Department of Education Reporting Guidelines. </w:t>
            </w:r>
          </w:p>
        </w:tc>
      </w:tr>
      <w:tr w:rsidR="00265F02" w:rsidRPr="00265F02" w:rsidTr="00265F02">
        <w:trPr>
          <w:gridAfter w:val="1"/>
          <w:tblCellSpacing w:w="15" w:type="dxa"/>
        </w:trPr>
        <w:tc>
          <w:tcPr>
            <w:tcW w:w="0" w:type="auto"/>
            <w:hideMark/>
          </w:tcPr>
          <w:p w:rsidR="00265F02" w:rsidRPr="001023C8" w:rsidRDefault="00265F02" w:rsidP="00FE469A">
            <w:pPr>
              <w:pStyle w:val="ListParagraph"/>
              <w:numPr>
                <w:ilvl w:val="0"/>
                <w:numId w:val="27"/>
              </w:numPr>
              <w:spacing w:after="0"/>
              <w:rPr>
                <w:rFonts w:eastAsia="Times New Roman"/>
                <w:bCs w:val="0"/>
                <w:i/>
                <w:color w:val="000000"/>
                <w:szCs w:val="19"/>
                <w:lang w:eastAsia="zh-TW"/>
              </w:rPr>
            </w:pPr>
            <w:r w:rsidRPr="001023C8">
              <w:rPr>
                <w:rFonts w:eastAsia="Times New Roman"/>
                <w:bCs w:val="0"/>
                <w:i/>
                <w:color w:val="000000"/>
                <w:szCs w:val="19"/>
                <w:lang w:eastAsia="zh-TW"/>
              </w:rPr>
              <w:t>Teachers use data to make judgements about student learning to inform future teaching.</w:t>
            </w:r>
            <w:r w:rsidR="009C65D4" w:rsidRPr="001023C8">
              <w:rPr>
                <w:rFonts w:eastAsia="Times New Roman"/>
                <w:bCs w:val="0"/>
                <w:i/>
                <w:color w:val="000000"/>
                <w:szCs w:val="19"/>
                <w:lang w:eastAsia="zh-TW"/>
              </w:rPr>
              <w:t xml:space="preserve"> </w:t>
            </w:r>
          </w:p>
          <w:p w:rsidR="009C65D4" w:rsidRPr="001023C8" w:rsidRDefault="009C65D4" w:rsidP="009C65D4">
            <w:pPr>
              <w:pStyle w:val="ListParagraph"/>
              <w:spacing w:after="0"/>
              <w:rPr>
                <w:rFonts w:eastAsia="Times New Roman"/>
                <w:bCs w:val="0"/>
                <w:color w:val="000000"/>
                <w:szCs w:val="19"/>
                <w:lang w:eastAsia="zh-TW"/>
              </w:rPr>
            </w:pPr>
            <w:r w:rsidRPr="001023C8">
              <w:rPr>
                <w:color w:val="000000"/>
              </w:rPr>
              <w:t xml:space="preserve">Data is driving the selection of academic, personal and social curriculum.  Denise Kable Campus have instigated specific data collection tools.   Analysis of academic and behaviour data, including work samples, are used to decide what </w:t>
            </w:r>
            <w:r w:rsidR="001023C8">
              <w:rPr>
                <w:color w:val="000000"/>
              </w:rPr>
              <w:t>the next step of learning is.  School f</w:t>
            </w:r>
            <w:r w:rsidRPr="001023C8">
              <w:rPr>
                <w:color w:val="000000"/>
              </w:rPr>
              <w:t>unding is used to give planning time for PBL, Tier Two and Problem Solving Teams to meet and discuss student learning based on data.</w:t>
            </w:r>
          </w:p>
        </w:tc>
      </w:tr>
      <w:tr w:rsidR="00265F02" w:rsidRPr="00265F02" w:rsidTr="00265F02">
        <w:trPr>
          <w:gridAfter w:val="1"/>
          <w:tblCellSpacing w:w="15" w:type="dxa"/>
        </w:trPr>
        <w:tc>
          <w:tcPr>
            <w:tcW w:w="0" w:type="auto"/>
            <w:hideMark/>
          </w:tcPr>
          <w:p w:rsidR="00265F02" w:rsidRPr="001023C8" w:rsidRDefault="00265F02" w:rsidP="00FE469A">
            <w:pPr>
              <w:pStyle w:val="ListParagraph"/>
              <w:numPr>
                <w:ilvl w:val="0"/>
                <w:numId w:val="27"/>
              </w:numPr>
              <w:spacing w:after="0"/>
              <w:rPr>
                <w:rFonts w:eastAsia="Times New Roman"/>
                <w:bCs w:val="0"/>
                <w:color w:val="000000"/>
                <w:szCs w:val="19"/>
                <w:lang w:eastAsia="zh-TW"/>
              </w:rPr>
            </w:pPr>
            <w:r w:rsidRPr="001023C8">
              <w:rPr>
                <w:rFonts w:eastAsia="Times New Roman"/>
                <w:bCs w:val="0"/>
                <w:i/>
                <w:color w:val="000000"/>
                <w:szCs w:val="19"/>
                <w:lang w:eastAsia="zh-TW"/>
              </w:rPr>
              <w:t>Denise Kable Campus Assessment and Reporting Framework is reviewed</w:t>
            </w:r>
            <w:r w:rsidRPr="001023C8">
              <w:rPr>
                <w:rFonts w:eastAsia="Times New Roman"/>
                <w:bCs w:val="0"/>
                <w:color w:val="000000"/>
                <w:szCs w:val="19"/>
                <w:lang w:eastAsia="zh-TW"/>
              </w:rPr>
              <w:t>.</w:t>
            </w:r>
          </w:p>
          <w:p w:rsidR="00962E24" w:rsidRPr="001023C8" w:rsidRDefault="009C65D4" w:rsidP="009C65D4">
            <w:pPr>
              <w:pStyle w:val="ListParagraph"/>
              <w:spacing w:after="0"/>
              <w:rPr>
                <w:rFonts w:eastAsia="Times New Roman"/>
                <w:bCs w:val="0"/>
                <w:color w:val="000000"/>
                <w:szCs w:val="19"/>
                <w:lang w:eastAsia="zh-TW"/>
              </w:rPr>
            </w:pPr>
            <w:r w:rsidRPr="001023C8">
              <w:rPr>
                <w:rFonts w:eastAsia="Times New Roman"/>
                <w:bCs w:val="0"/>
                <w:color w:val="000000"/>
                <w:szCs w:val="19"/>
                <w:lang w:eastAsia="zh-TW"/>
              </w:rPr>
              <w:t xml:space="preserve">A review </w:t>
            </w:r>
            <w:r w:rsidR="001023C8">
              <w:rPr>
                <w:rFonts w:eastAsia="Times New Roman"/>
                <w:bCs w:val="0"/>
                <w:color w:val="000000"/>
                <w:szCs w:val="19"/>
                <w:lang w:eastAsia="zh-TW"/>
              </w:rPr>
              <w:t>was completed by the end of 2018</w:t>
            </w:r>
            <w:r w:rsidRPr="001023C8">
              <w:rPr>
                <w:rFonts w:eastAsia="Times New Roman"/>
                <w:bCs w:val="0"/>
                <w:color w:val="000000"/>
                <w:szCs w:val="19"/>
                <w:lang w:eastAsia="zh-TW"/>
              </w:rPr>
              <w:t xml:space="preserve"> of the </w:t>
            </w:r>
            <w:r w:rsidR="001023C8">
              <w:rPr>
                <w:rFonts w:eastAsia="Times New Roman"/>
                <w:bCs w:val="0"/>
                <w:color w:val="000000"/>
                <w:szCs w:val="19"/>
                <w:lang w:eastAsia="zh-TW"/>
              </w:rPr>
              <w:t xml:space="preserve">school’s </w:t>
            </w:r>
            <w:r w:rsidRPr="001023C8">
              <w:rPr>
                <w:rFonts w:eastAsia="Times New Roman"/>
                <w:bCs w:val="0"/>
                <w:color w:val="000000"/>
                <w:szCs w:val="19"/>
                <w:lang w:eastAsia="zh-TW"/>
              </w:rPr>
              <w:t xml:space="preserve">Assessment and Reporting Framework. </w:t>
            </w:r>
          </w:p>
          <w:p w:rsidR="009C65D4" w:rsidRPr="001023C8" w:rsidRDefault="009C65D4" w:rsidP="009C65D4">
            <w:pPr>
              <w:pStyle w:val="ListParagraph"/>
              <w:spacing w:after="0"/>
              <w:rPr>
                <w:rFonts w:eastAsia="Times New Roman"/>
                <w:bCs w:val="0"/>
                <w:color w:val="000000"/>
                <w:szCs w:val="19"/>
                <w:lang w:eastAsia="zh-TW"/>
              </w:rPr>
            </w:pPr>
          </w:p>
        </w:tc>
      </w:tr>
      <w:tr w:rsidR="00EC3623" w:rsidRPr="00EC3623" w:rsidTr="00265F02">
        <w:trPr>
          <w:tblCellSpacing w:w="15" w:type="dxa"/>
        </w:trPr>
        <w:tc>
          <w:tcPr>
            <w:tcW w:w="0" w:type="auto"/>
            <w:gridSpan w:val="2"/>
            <w:hideMark/>
          </w:tcPr>
          <w:p w:rsidR="00EC3623" w:rsidRPr="00EC3623" w:rsidRDefault="00EC3623" w:rsidP="00EC3623">
            <w:pPr>
              <w:spacing w:after="0"/>
              <w:rPr>
                <w:rFonts w:ascii="Verdana" w:eastAsia="Times New Roman" w:hAnsi="Verdana" w:cs="Times New Roman"/>
                <w:bCs w:val="0"/>
                <w:color w:val="000000"/>
                <w:szCs w:val="19"/>
                <w:lang w:eastAsia="zh-TW"/>
              </w:rPr>
            </w:pPr>
          </w:p>
        </w:tc>
      </w:tr>
    </w:tbl>
    <w:p w:rsidR="000126B0" w:rsidRPr="00C36678" w:rsidRDefault="000126B0" w:rsidP="003F26A8">
      <w:pPr>
        <w:pStyle w:val="Heading3-AR"/>
      </w:pPr>
      <w:r w:rsidRPr="00C36678">
        <w:t>Future outlook</w:t>
      </w:r>
    </w:p>
    <w:p w:rsidR="000126B0" w:rsidRPr="000C6EB2" w:rsidRDefault="000C6EB2" w:rsidP="000C6EB2">
      <w:pPr>
        <w:jc w:val="both"/>
        <w:rPr>
          <w:bCs w:val="0"/>
          <w:sz w:val="16"/>
          <w:szCs w:val="16"/>
          <w:lang w:eastAsia="zh-CN"/>
        </w:rPr>
      </w:pPr>
      <w:r w:rsidRPr="000C6EB2">
        <w:rPr>
          <w:bCs w:val="0"/>
          <w:sz w:val="16"/>
          <w:szCs w:val="16"/>
          <w:lang w:eastAsia="zh-CN"/>
        </w:rPr>
        <w:t xml:space="preserve">The strong focus on improving individual literacy/reading and numeracy </w:t>
      </w:r>
      <w:r>
        <w:rPr>
          <w:bCs w:val="0"/>
          <w:sz w:val="16"/>
          <w:szCs w:val="16"/>
          <w:lang w:eastAsia="zh-CN"/>
        </w:rPr>
        <w:t>expectations continues to be the Explicit Improvement Agenda for 2019</w:t>
      </w:r>
      <w:r w:rsidRPr="000C6EB2">
        <w:rPr>
          <w:bCs w:val="0"/>
          <w:sz w:val="16"/>
          <w:szCs w:val="16"/>
          <w:lang w:eastAsia="zh-CN"/>
        </w:rPr>
        <w:t xml:space="preserve">. </w:t>
      </w:r>
    </w:p>
    <w:tbl>
      <w:tblPr>
        <w:tblStyle w:val="TableGrid3"/>
        <w:tblW w:w="9628" w:type="dxa"/>
        <w:tblLook w:val="04A0" w:firstRow="1" w:lastRow="0" w:firstColumn="1" w:lastColumn="0" w:noHBand="0" w:noVBand="1"/>
      </w:tblPr>
      <w:tblGrid>
        <w:gridCol w:w="2073"/>
        <w:gridCol w:w="5577"/>
        <w:gridCol w:w="1978"/>
      </w:tblGrid>
      <w:tr w:rsidR="000F2A19" w:rsidRPr="000C6EB2" w:rsidTr="00281CF2">
        <w:tc>
          <w:tcPr>
            <w:tcW w:w="9628" w:type="dxa"/>
            <w:gridSpan w:val="3"/>
          </w:tcPr>
          <w:p w:rsidR="000F2A19" w:rsidRPr="000C6EB2" w:rsidRDefault="000F2A19" w:rsidP="000C6EB2">
            <w:pPr>
              <w:spacing w:after="0"/>
              <w:jc w:val="center"/>
              <w:rPr>
                <w:rFonts w:eastAsia="Times New Roman" w:cs="Times New Roman"/>
                <w:bCs w:val="0"/>
                <w:i/>
                <w:spacing w:val="10"/>
                <w:sz w:val="16"/>
                <w:szCs w:val="16"/>
                <w:u w:val="single"/>
                <w:lang w:val="en-US"/>
              </w:rPr>
            </w:pPr>
            <w:r>
              <w:rPr>
                <w:rFonts w:eastAsia="Times New Roman" w:cs="Times New Roman"/>
                <w:bCs w:val="0"/>
                <w:i/>
                <w:spacing w:val="10"/>
                <w:sz w:val="16"/>
                <w:szCs w:val="16"/>
                <w:u w:val="single"/>
                <w:lang w:val="en-US"/>
              </w:rPr>
              <w:t>2019</w:t>
            </w:r>
            <w:r w:rsidRPr="000C6EB2">
              <w:rPr>
                <w:rFonts w:eastAsia="Times New Roman" w:cs="Times New Roman"/>
                <w:bCs w:val="0"/>
                <w:i/>
                <w:spacing w:val="10"/>
                <w:sz w:val="16"/>
                <w:szCs w:val="16"/>
                <w:u w:val="single"/>
                <w:lang w:val="en-US"/>
              </w:rPr>
              <w:t xml:space="preserve"> Explicit Improvement Agenda</w:t>
            </w:r>
          </w:p>
          <w:p w:rsidR="000F2A19" w:rsidRDefault="000F2A19" w:rsidP="000C6EB2">
            <w:pPr>
              <w:spacing w:after="0"/>
              <w:jc w:val="center"/>
              <w:rPr>
                <w:rFonts w:eastAsia="Times New Roman" w:cs="Times New Roman"/>
                <w:bCs w:val="0"/>
                <w:i/>
                <w:spacing w:val="10"/>
                <w:sz w:val="16"/>
                <w:szCs w:val="16"/>
                <w:u w:val="single"/>
                <w:lang w:val="en-US"/>
              </w:rPr>
            </w:pPr>
          </w:p>
        </w:tc>
      </w:tr>
      <w:tr w:rsidR="000F2A19" w:rsidRPr="000C6EB2" w:rsidTr="000F2A19">
        <w:tc>
          <w:tcPr>
            <w:tcW w:w="2073" w:type="dxa"/>
          </w:tcPr>
          <w:p w:rsidR="000F2A19" w:rsidRPr="000C6EB2" w:rsidRDefault="000F2A19" w:rsidP="000C6EB2">
            <w:pPr>
              <w:spacing w:after="0"/>
              <w:jc w:val="center"/>
              <w:rPr>
                <w:rFonts w:eastAsia="Times New Roman" w:cs="Times New Roman"/>
                <w:bCs w:val="0"/>
                <w:spacing w:val="10"/>
                <w:sz w:val="16"/>
                <w:szCs w:val="16"/>
                <w:lang w:val="en-US"/>
              </w:rPr>
            </w:pPr>
            <w:r w:rsidRPr="000C6EB2">
              <w:rPr>
                <w:rFonts w:eastAsia="Times New Roman" w:cs="Times New Roman"/>
                <w:bCs w:val="0"/>
                <w:spacing w:val="10"/>
                <w:sz w:val="16"/>
                <w:szCs w:val="16"/>
                <w:lang w:val="en-US"/>
              </w:rPr>
              <w:t>Explicit Improvement Agenda</w:t>
            </w:r>
          </w:p>
        </w:tc>
        <w:tc>
          <w:tcPr>
            <w:tcW w:w="5577" w:type="dxa"/>
          </w:tcPr>
          <w:p w:rsidR="000F2A19" w:rsidRPr="000C6EB2" w:rsidRDefault="000F2A19" w:rsidP="000C6EB2">
            <w:pPr>
              <w:spacing w:after="0"/>
              <w:jc w:val="center"/>
              <w:rPr>
                <w:rFonts w:eastAsia="Times New Roman" w:cs="Times New Roman"/>
                <w:bCs w:val="0"/>
                <w:spacing w:val="10"/>
                <w:sz w:val="16"/>
                <w:szCs w:val="16"/>
                <w:lang w:val="en-US"/>
              </w:rPr>
            </w:pPr>
            <w:r w:rsidRPr="000C6EB2">
              <w:rPr>
                <w:rFonts w:eastAsia="Times New Roman" w:cs="Times New Roman"/>
                <w:bCs w:val="0"/>
                <w:spacing w:val="10"/>
                <w:sz w:val="16"/>
                <w:szCs w:val="16"/>
                <w:lang w:val="en-US"/>
              </w:rPr>
              <w:t>Strategies and Actions</w:t>
            </w:r>
          </w:p>
        </w:tc>
        <w:tc>
          <w:tcPr>
            <w:tcW w:w="1978" w:type="dxa"/>
          </w:tcPr>
          <w:p w:rsidR="000F2A19" w:rsidRPr="000C6EB2" w:rsidRDefault="000F2A19" w:rsidP="000C6EB2">
            <w:pPr>
              <w:spacing w:after="0"/>
              <w:jc w:val="center"/>
              <w:rPr>
                <w:rFonts w:eastAsia="Times New Roman" w:cs="Times New Roman"/>
                <w:bCs w:val="0"/>
                <w:spacing w:val="10"/>
                <w:sz w:val="16"/>
                <w:szCs w:val="16"/>
                <w:lang w:val="en-US"/>
              </w:rPr>
            </w:pPr>
            <w:r>
              <w:rPr>
                <w:rFonts w:eastAsia="Times New Roman" w:cs="Times New Roman"/>
                <w:bCs w:val="0"/>
                <w:spacing w:val="10"/>
                <w:sz w:val="16"/>
                <w:szCs w:val="16"/>
                <w:lang w:val="en-US"/>
              </w:rPr>
              <w:t>Timeline</w:t>
            </w:r>
          </w:p>
        </w:tc>
      </w:tr>
      <w:tr w:rsidR="00C603AE" w:rsidRPr="000C6EB2" w:rsidTr="00C36904">
        <w:trPr>
          <w:trHeight w:val="360"/>
        </w:trPr>
        <w:tc>
          <w:tcPr>
            <w:tcW w:w="2073" w:type="dxa"/>
            <w:vMerge w:val="restart"/>
          </w:tcPr>
          <w:p w:rsidR="00C603AE" w:rsidRDefault="00C603AE" w:rsidP="000C6EB2">
            <w:pPr>
              <w:spacing w:after="0"/>
              <w:rPr>
                <w:rFonts w:eastAsia="Times New Roman"/>
                <w:bCs w:val="0"/>
                <w:sz w:val="16"/>
                <w:szCs w:val="16"/>
                <w:lang w:eastAsia="zh-CN"/>
              </w:rPr>
            </w:pPr>
            <w:r w:rsidRPr="000C6EB2">
              <w:rPr>
                <w:rFonts w:eastAsia="Times New Roman"/>
                <w:bCs w:val="0"/>
                <w:sz w:val="16"/>
                <w:szCs w:val="16"/>
                <w:lang w:eastAsia="zh-CN"/>
              </w:rPr>
              <w:t>All students will achieve their literacy and/or reading expectation.</w:t>
            </w:r>
          </w:p>
          <w:p w:rsidR="00C603AE" w:rsidRPr="000C6EB2" w:rsidRDefault="00C603AE" w:rsidP="00C603AE">
            <w:pPr>
              <w:pStyle w:val="Body-Text"/>
              <w:rPr>
                <w:rFonts w:eastAsia="Times New Roman"/>
                <w:bCs w:val="0"/>
                <w:sz w:val="16"/>
                <w:szCs w:val="16"/>
              </w:rPr>
            </w:pPr>
          </w:p>
        </w:tc>
        <w:tc>
          <w:tcPr>
            <w:tcW w:w="7555" w:type="dxa"/>
            <w:gridSpan w:val="2"/>
          </w:tcPr>
          <w:p w:rsidR="00C603AE" w:rsidRDefault="00C603AE" w:rsidP="00ED40A2">
            <w:pPr>
              <w:spacing w:after="0"/>
              <w:rPr>
                <w:rFonts w:eastAsia="Times New Roman"/>
                <w:bCs w:val="0"/>
                <w:spacing w:val="10"/>
                <w:sz w:val="16"/>
                <w:szCs w:val="16"/>
                <w:lang w:val="en-US"/>
              </w:rPr>
            </w:pPr>
            <w:r w:rsidRPr="00ED40A2">
              <w:rPr>
                <w:rFonts w:eastAsia="Times New Roman"/>
                <w:bCs w:val="0"/>
                <w:spacing w:val="10"/>
                <w:sz w:val="16"/>
                <w:szCs w:val="16"/>
                <w:lang w:val="en-US"/>
              </w:rPr>
              <w:t>Peer Feedback Coaches support teachers in aligning precise reading/lite</w:t>
            </w:r>
            <w:r>
              <w:rPr>
                <w:rFonts w:eastAsia="Times New Roman"/>
                <w:bCs w:val="0"/>
                <w:spacing w:val="10"/>
                <w:sz w:val="16"/>
                <w:szCs w:val="16"/>
                <w:lang w:val="en-US"/>
              </w:rPr>
              <w:t xml:space="preserve">racy expectations with specific </w:t>
            </w:r>
            <w:r w:rsidRPr="00ED40A2">
              <w:rPr>
                <w:rFonts w:eastAsia="Times New Roman"/>
                <w:bCs w:val="0"/>
                <w:spacing w:val="10"/>
                <w:sz w:val="16"/>
                <w:szCs w:val="16"/>
                <w:lang w:val="en-US"/>
              </w:rPr>
              <w:t>instructional pedagogies</w:t>
            </w:r>
            <w:r>
              <w:rPr>
                <w:rFonts w:eastAsia="Times New Roman"/>
                <w:bCs w:val="0"/>
                <w:spacing w:val="10"/>
                <w:sz w:val="16"/>
                <w:szCs w:val="16"/>
                <w:lang w:val="en-US"/>
              </w:rPr>
              <w:t>.</w:t>
            </w:r>
          </w:p>
          <w:p w:rsidR="00C603AE" w:rsidRPr="00ED40A2" w:rsidRDefault="00C603AE" w:rsidP="00ED40A2">
            <w:pPr>
              <w:spacing w:after="0"/>
              <w:rPr>
                <w:rFonts w:eastAsia="Times New Roman"/>
                <w:bCs w:val="0"/>
                <w:spacing w:val="10"/>
                <w:sz w:val="16"/>
                <w:szCs w:val="16"/>
                <w:lang w:val="en-US"/>
              </w:rPr>
            </w:pPr>
          </w:p>
        </w:tc>
      </w:tr>
      <w:tr w:rsidR="00A66602" w:rsidRPr="000C6EB2" w:rsidTr="000F2A19">
        <w:trPr>
          <w:trHeight w:val="558"/>
        </w:trPr>
        <w:tc>
          <w:tcPr>
            <w:tcW w:w="2073" w:type="dxa"/>
            <w:vMerge/>
          </w:tcPr>
          <w:p w:rsidR="00A66602" w:rsidRPr="000C6EB2" w:rsidRDefault="00A66602" w:rsidP="000C6EB2">
            <w:pPr>
              <w:spacing w:after="0"/>
              <w:rPr>
                <w:rFonts w:eastAsia="Times New Roman"/>
                <w:bCs w:val="0"/>
                <w:sz w:val="16"/>
                <w:szCs w:val="16"/>
                <w:lang w:eastAsia="zh-CN"/>
              </w:rPr>
            </w:pPr>
          </w:p>
        </w:tc>
        <w:tc>
          <w:tcPr>
            <w:tcW w:w="5577" w:type="dxa"/>
          </w:tcPr>
          <w:p w:rsidR="00A66602" w:rsidRPr="00ED40A2" w:rsidRDefault="00A66602" w:rsidP="00ED40A2">
            <w:pPr>
              <w:pStyle w:val="ListParagraph"/>
              <w:numPr>
                <w:ilvl w:val="0"/>
                <w:numId w:val="20"/>
              </w:numPr>
              <w:spacing w:after="0"/>
              <w:rPr>
                <w:rFonts w:eastAsia="Times New Roman"/>
                <w:bCs w:val="0"/>
                <w:spacing w:val="10"/>
                <w:sz w:val="16"/>
                <w:szCs w:val="16"/>
                <w:lang w:val="en-US"/>
              </w:rPr>
            </w:pPr>
            <w:r w:rsidRPr="00ED40A2">
              <w:rPr>
                <w:rFonts w:eastAsia="Times New Roman"/>
                <w:bCs w:val="0"/>
                <w:spacing w:val="10"/>
                <w:sz w:val="16"/>
                <w:szCs w:val="16"/>
                <w:lang w:val="en-US"/>
              </w:rPr>
              <w:t>Peer Feedback Coaches support teachers in aligning precise reading and/or literacy expectations with specific instructional pedagogies.</w:t>
            </w:r>
          </w:p>
          <w:p w:rsidR="00A66602" w:rsidRDefault="00A66602" w:rsidP="00ED40A2">
            <w:pPr>
              <w:numPr>
                <w:ilvl w:val="0"/>
                <w:numId w:val="20"/>
              </w:numPr>
              <w:spacing w:after="0" w:line="276" w:lineRule="auto"/>
              <w:contextualSpacing/>
              <w:rPr>
                <w:rFonts w:eastAsia="Times New Roman"/>
                <w:bCs w:val="0"/>
                <w:sz w:val="16"/>
                <w:szCs w:val="16"/>
                <w:lang w:eastAsia="zh-CN"/>
              </w:rPr>
            </w:pPr>
            <w:r w:rsidRPr="000C6EB2">
              <w:rPr>
                <w:rFonts w:eastAsia="Times New Roman"/>
                <w:bCs w:val="0"/>
                <w:sz w:val="16"/>
                <w:szCs w:val="16"/>
                <w:lang w:eastAsia="zh-CN"/>
              </w:rPr>
              <w:t>Peer Feedback Coaches identify appropriate Phonemic Awareness milestones to</w:t>
            </w:r>
            <w:r>
              <w:rPr>
                <w:rFonts w:eastAsia="Times New Roman"/>
                <w:bCs w:val="0"/>
                <w:sz w:val="16"/>
                <w:szCs w:val="16"/>
                <w:lang w:eastAsia="zh-CN"/>
              </w:rPr>
              <w:t xml:space="preserve"> </w:t>
            </w:r>
            <w:r w:rsidRPr="000C6EB2">
              <w:rPr>
                <w:rFonts w:eastAsia="Times New Roman"/>
                <w:bCs w:val="0"/>
                <w:sz w:val="16"/>
                <w:szCs w:val="16"/>
                <w:lang w:eastAsia="zh-CN"/>
              </w:rPr>
              <w:t>assess the effectiveness of the program.</w:t>
            </w:r>
          </w:p>
          <w:p w:rsidR="00A66602" w:rsidRDefault="00A66602" w:rsidP="00ED40A2">
            <w:pPr>
              <w:numPr>
                <w:ilvl w:val="0"/>
                <w:numId w:val="20"/>
              </w:numPr>
              <w:spacing w:after="0" w:line="276" w:lineRule="auto"/>
              <w:contextualSpacing/>
              <w:rPr>
                <w:rFonts w:eastAsia="Times New Roman"/>
                <w:bCs w:val="0"/>
                <w:sz w:val="16"/>
                <w:szCs w:val="16"/>
                <w:lang w:eastAsia="zh-CN"/>
              </w:rPr>
            </w:pPr>
            <w:r w:rsidRPr="00ED40A2">
              <w:rPr>
                <w:rFonts w:eastAsia="Times New Roman"/>
                <w:bCs w:val="0"/>
                <w:sz w:val="16"/>
                <w:szCs w:val="16"/>
                <w:lang w:eastAsia="zh-CN"/>
              </w:rPr>
              <w:t>New Feedback coaches are added to the team. The Head of Curriculum provides</w:t>
            </w:r>
            <w:r>
              <w:rPr>
                <w:rFonts w:eastAsia="Times New Roman"/>
                <w:bCs w:val="0"/>
                <w:sz w:val="16"/>
                <w:szCs w:val="16"/>
                <w:lang w:eastAsia="zh-CN"/>
              </w:rPr>
              <w:t xml:space="preserve"> </w:t>
            </w:r>
            <w:r w:rsidRPr="00ED40A2">
              <w:rPr>
                <w:rFonts w:eastAsia="Times New Roman"/>
                <w:bCs w:val="0"/>
                <w:sz w:val="16"/>
                <w:szCs w:val="16"/>
                <w:lang w:eastAsia="zh-CN"/>
              </w:rPr>
              <w:t>coaching and feedback during Conferencing sessions as well as organising</w:t>
            </w:r>
            <w:r>
              <w:rPr>
                <w:rFonts w:eastAsia="Times New Roman"/>
                <w:bCs w:val="0"/>
                <w:sz w:val="16"/>
                <w:szCs w:val="16"/>
                <w:lang w:eastAsia="zh-CN"/>
              </w:rPr>
              <w:t xml:space="preserve"> </w:t>
            </w:r>
            <w:r w:rsidRPr="00ED40A2">
              <w:rPr>
                <w:rFonts w:eastAsia="Times New Roman"/>
                <w:bCs w:val="0"/>
                <w:sz w:val="16"/>
                <w:szCs w:val="16"/>
                <w:lang w:eastAsia="zh-CN"/>
              </w:rPr>
              <w:t>targeted professional development.</w:t>
            </w:r>
          </w:p>
          <w:p w:rsidR="00A66602" w:rsidRPr="00ED40A2" w:rsidRDefault="00A66602" w:rsidP="00ED40A2">
            <w:pPr>
              <w:numPr>
                <w:ilvl w:val="0"/>
                <w:numId w:val="20"/>
              </w:numPr>
              <w:spacing w:after="0" w:line="276" w:lineRule="auto"/>
              <w:contextualSpacing/>
              <w:rPr>
                <w:rFonts w:eastAsia="Times New Roman"/>
                <w:bCs w:val="0"/>
                <w:sz w:val="16"/>
                <w:szCs w:val="16"/>
                <w:lang w:eastAsia="zh-CN"/>
              </w:rPr>
            </w:pPr>
            <w:r w:rsidRPr="00ED40A2">
              <w:rPr>
                <w:rFonts w:eastAsia="Times New Roman"/>
                <w:bCs w:val="0"/>
                <w:sz w:val="16"/>
                <w:szCs w:val="16"/>
                <w:lang w:eastAsia="zh-CN"/>
              </w:rPr>
              <w:t>Conferencing between teachers and Peer Feedback Coaches occurs regularly.</w:t>
            </w:r>
            <w:r>
              <w:rPr>
                <w:rFonts w:eastAsia="Times New Roman"/>
                <w:bCs w:val="0"/>
                <w:sz w:val="16"/>
                <w:szCs w:val="16"/>
                <w:lang w:eastAsia="zh-CN"/>
              </w:rPr>
              <w:t xml:space="preserve">  </w:t>
            </w:r>
            <w:r w:rsidRPr="00ED40A2">
              <w:rPr>
                <w:rFonts w:eastAsia="Times New Roman"/>
                <w:bCs w:val="0"/>
                <w:sz w:val="16"/>
                <w:szCs w:val="16"/>
                <w:lang w:eastAsia="zh-CN"/>
              </w:rPr>
              <w:t>All teachers participate in the conferencing process.</w:t>
            </w:r>
          </w:p>
          <w:p w:rsidR="00A66602" w:rsidRPr="00ED40A2" w:rsidRDefault="00A66602" w:rsidP="00ED40A2">
            <w:pPr>
              <w:numPr>
                <w:ilvl w:val="0"/>
                <w:numId w:val="20"/>
              </w:numPr>
              <w:spacing w:after="0" w:line="276" w:lineRule="auto"/>
              <w:contextualSpacing/>
              <w:rPr>
                <w:rFonts w:eastAsia="Times New Roman"/>
                <w:bCs w:val="0"/>
                <w:sz w:val="16"/>
                <w:szCs w:val="16"/>
                <w:lang w:eastAsia="zh-CN"/>
              </w:rPr>
            </w:pPr>
            <w:r w:rsidRPr="00ED40A2">
              <w:rPr>
                <w:rFonts w:eastAsia="Times New Roman"/>
                <w:bCs w:val="0"/>
                <w:sz w:val="16"/>
                <w:szCs w:val="16"/>
                <w:lang w:eastAsia="zh-CN"/>
              </w:rPr>
              <w:t>Increase the range of literacy/reading reso</w:t>
            </w:r>
            <w:r>
              <w:rPr>
                <w:rFonts w:eastAsia="Times New Roman"/>
                <w:bCs w:val="0"/>
                <w:sz w:val="16"/>
                <w:szCs w:val="16"/>
                <w:lang w:eastAsia="zh-CN"/>
              </w:rPr>
              <w:t>urces for teachers and students</w:t>
            </w:r>
            <w:r w:rsidRPr="00ED40A2">
              <w:rPr>
                <w:rFonts w:eastAsia="Times New Roman"/>
                <w:bCs w:val="0"/>
                <w:sz w:val="16"/>
                <w:szCs w:val="16"/>
                <w:lang w:eastAsia="zh-CN"/>
              </w:rPr>
              <w:t>.</w:t>
            </w:r>
          </w:p>
          <w:p w:rsidR="00A66602" w:rsidRPr="00ED40A2" w:rsidRDefault="00A66602" w:rsidP="00ED40A2">
            <w:pPr>
              <w:numPr>
                <w:ilvl w:val="0"/>
                <w:numId w:val="20"/>
              </w:numPr>
              <w:spacing w:after="0" w:line="276" w:lineRule="auto"/>
              <w:contextualSpacing/>
              <w:rPr>
                <w:rFonts w:eastAsia="Times New Roman"/>
                <w:bCs w:val="0"/>
                <w:spacing w:val="10"/>
                <w:sz w:val="16"/>
                <w:szCs w:val="16"/>
                <w:lang w:val="en-US"/>
              </w:rPr>
            </w:pPr>
            <w:r w:rsidRPr="00ED40A2">
              <w:rPr>
                <w:rFonts w:eastAsia="Times New Roman"/>
                <w:bCs w:val="0"/>
                <w:spacing w:val="10"/>
                <w:sz w:val="16"/>
                <w:szCs w:val="16"/>
                <w:lang w:val="en-US"/>
              </w:rPr>
              <w:t>Data Wall is maintained as the visual representation of student achievement.</w:t>
            </w:r>
          </w:p>
          <w:p w:rsidR="00A66602" w:rsidRPr="00ED40A2" w:rsidRDefault="00A66602" w:rsidP="00ED40A2">
            <w:pPr>
              <w:numPr>
                <w:ilvl w:val="0"/>
                <w:numId w:val="20"/>
              </w:numPr>
              <w:spacing w:after="0" w:line="276" w:lineRule="auto"/>
              <w:contextualSpacing/>
              <w:rPr>
                <w:rFonts w:eastAsia="Times New Roman"/>
                <w:bCs w:val="0"/>
                <w:sz w:val="16"/>
                <w:szCs w:val="16"/>
                <w:lang w:eastAsia="zh-CN"/>
              </w:rPr>
            </w:pPr>
            <w:r w:rsidRPr="00ED40A2">
              <w:rPr>
                <w:rFonts w:eastAsia="Times New Roman"/>
                <w:bCs w:val="0"/>
                <w:sz w:val="16"/>
                <w:szCs w:val="16"/>
                <w:lang w:eastAsia="zh-CN"/>
              </w:rPr>
              <w:t>Modelling of the Phonemic Awa</w:t>
            </w:r>
            <w:r>
              <w:rPr>
                <w:rFonts w:eastAsia="Times New Roman"/>
                <w:bCs w:val="0"/>
                <w:sz w:val="16"/>
                <w:szCs w:val="16"/>
                <w:lang w:eastAsia="zh-CN"/>
              </w:rPr>
              <w:t xml:space="preserve">reness process in classrooms is </w:t>
            </w:r>
            <w:r w:rsidRPr="00ED40A2">
              <w:rPr>
                <w:rFonts w:eastAsia="Times New Roman"/>
                <w:bCs w:val="0"/>
                <w:sz w:val="16"/>
                <w:szCs w:val="16"/>
                <w:lang w:eastAsia="zh-CN"/>
              </w:rPr>
              <w:t>provided for</w:t>
            </w:r>
            <w:r>
              <w:rPr>
                <w:rFonts w:eastAsia="Times New Roman"/>
                <w:bCs w:val="0"/>
                <w:sz w:val="16"/>
                <w:szCs w:val="16"/>
                <w:lang w:eastAsia="zh-CN"/>
              </w:rPr>
              <w:t xml:space="preserve"> </w:t>
            </w:r>
            <w:r w:rsidRPr="00ED40A2">
              <w:rPr>
                <w:rFonts w:eastAsia="Times New Roman"/>
                <w:bCs w:val="0"/>
                <w:sz w:val="16"/>
                <w:szCs w:val="16"/>
                <w:lang w:eastAsia="zh-CN"/>
              </w:rPr>
              <w:t>teachers.</w:t>
            </w:r>
          </w:p>
        </w:tc>
        <w:tc>
          <w:tcPr>
            <w:tcW w:w="1978" w:type="dxa"/>
          </w:tcPr>
          <w:p w:rsidR="00A66602" w:rsidRPr="000F2A19" w:rsidRDefault="00A66602" w:rsidP="000F2A19">
            <w:pPr>
              <w:spacing w:after="0"/>
              <w:rPr>
                <w:rFonts w:eastAsia="Times New Roman"/>
                <w:bCs w:val="0"/>
                <w:spacing w:val="10"/>
                <w:sz w:val="16"/>
                <w:szCs w:val="16"/>
                <w:lang w:val="en-US"/>
              </w:rPr>
            </w:pPr>
            <w:r w:rsidRPr="000F2A19">
              <w:rPr>
                <w:rFonts w:eastAsia="Times New Roman"/>
                <w:bCs w:val="0"/>
                <w:spacing w:val="10"/>
                <w:sz w:val="16"/>
                <w:szCs w:val="16"/>
                <w:lang w:val="en-US"/>
              </w:rPr>
              <w:t>Ongoing</w:t>
            </w:r>
          </w:p>
          <w:p w:rsidR="00A66602" w:rsidRPr="000F2A19" w:rsidRDefault="00A66602" w:rsidP="000F2A19">
            <w:pPr>
              <w:pStyle w:val="Body-Text"/>
              <w:rPr>
                <w:sz w:val="16"/>
                <w:szCs w:val="16"/>
                <w:lang w:val="en-US" w:eastAsia="en-US"/>
              </w:rPr>
            </w:pPr>
          </w:p>
          <w:p w:rsidR="00A66602" w:rsidRPr="000F2A19" w:rsidRDefault="00A66602" w:rsidP="000F2A19">
            <w:pPr>
              <w:pStyle w:val="Body-Text"/>
              <w:rPr>
                <w:sz w:val="16"/>
                <w:szCs w:val="16"/>
                <w:lang w:val="en-US" w:eastAsia="en-US"/>
              </w:rPr>
            </w:pPr>
            <w:r w:rsidRPr="000F2A19">
              <w:rPr>
                <w:sz w:val="16"/>
                <w:szCs w:val="16"/>
                <w:lang w:val="en-US" w:eastAsia="en-US"/>
              </w:rPr>
              <w:t>Term Two</w:t>
            </w:r>
          </w:p>
          <w:p w:rsidR="00A66602" w:rsidRPr="000F2A19" w:rsidRDefault="00A66602" w:rsidP="000F2A19">
            <w:pPr>
              <w:pStyle w:val="Body-Text"/>
              <w:rPr>
                <w:sz w:val="16"/>
                <w:szCs w:val="16"/>
                <w:lang w:val="en-US" w:eastAsia="en-US"/>
              </w:rPr>
            </w:pPr>
          </w:p>
          <w:p w:rsidR="00A66602" w:rsidRPr="000F2A19" w:rsidRDefault="00A66602" w:rsidP="000F2A19">
            <w:pPr>
              <w:pStyle w:val="Body-Text"/>
              <w:rPr>
                <w:sz w:val="16"/>
                <w:szCs w:val="16"/>
                <w:lang w:val="en-US" w:eastAsia="en-US"/>
              </w:rPr>
            </w:pPr>
            <w:r w:rsidRPr="000F2A19">
              <w:rPr>
                <w:sz w:val="16"/>
                <w:szCs w:val="16"/>
                <w:lang w:val="en-US" w:eastAsia="en-US"/>
              </w:rPr>
              <w:t>Term One</w:t>
            </w:r>
          </w:p>
          <w:p w:rsidR="00A66602" w:rsidRPr="000F2A19" w:rsidRDefault="00A66602" w:rsidP="000F2A19">
            <w:pPr>
              <w:pStyle w:val="Body-Text"/>
              <w:rPr>
                <w:sz w:val="16"/>
                <w:szCs w:val="16"/>
                <w:lang w:val="en-US" w:eastAsia="en-US"/>
              </w:rPr>
            </w:pPr>
          </w:p>
          <w:p w:rsidR="00A66602" w:rsidRPr="000F2A19" w:rsidRDefault="00A66602" w:rsidP="000F2A19">
            <w:pPr>
              <w:pStyle w:val="Body-Text"/>
              <w:rPr>
                <w:sz w:val="16"/>
                <w:szCs w:val="16"/>
                <w:lang w:val="en-US" w:eastAsia="en-US"/>
              </w:rPr>
            </w:pPr>
          </w:p>
          <w:p w:rsidR="00A66602" w:rsidRPr="000F2A19" w:rsidRDefault="00A66602" w:rsidP="000F2A19">
            <w:pPr>
              <w:pStyle w:val="Body-Text"/>
              <w:rPr>
                <w:sz w:val="16"/>
                <w:szCs w:val="16"/>
                <w:lang w:val="en-US" w:eastAsia="en-US"/>
              </w:rPr>
            </w:pPr>
            <w:r w:rsidRPr="000F2A19">
              <w:rPr>
                <w:sz w:val="16"/>
                <w:szCs w:val="16"/>
                <w:lang w:val="en-US" w:eastAsia="en-US"/>
              </w:rPr>
              <w:t>Term Two</w:t>
            </w:r>
          </w:p>
          <w:p w:rsidR="00A66602" w:rsidRDefault="00A66602" w:rsidP="000F2A19">
            <w:pPr>
              <w:pStyle w:val="Body-Text"/>
              <w:rPr>
                <w:sz w:val="16"/>
                <w:szCs w:val="16"/>
                <w:lang w:val="en-US" w:eastAsia="en-US"/>
              </w:rPr>
            </w:pPr>
          </w:p>
          <w:p w:rsidR="00A66602" w:rsidRDefault="00A66602" w:rsidP="000F2A19">
            <w:pPr>
              <w:pStyle w:val="Body-Text"/>
              <w:rPr>
                <w:sz w:val="16"/>
                <w:szCs w:val="16"/>
                <w:lang w:val="en-US" w:eastAsia="en-US"/>
              </w:rPr>
            </w:pPr>
            <w:r w:rsidRPr="000F2A19">
              <w:rPr>
                <w:sz w:val="16"/>
                <w:szCs w:val="16"/>
                <w:lang w:val="en-US" w:eastAsia="en-US"/>
              </w:rPr>
              <w:t>Ongoing</w:t>
            </w:r>
          </w:p>
          <w:p w:rsidR="00A66602" w:rsidRDefault="00A66602" w:rsidP="000F2A19">
            <w:pPr>
              <w:pStyle w:val="Body-Text"/>
              <w:rPr>
                <w:sz w:val="16"/>
                <w:szCs w:val="16"/>
                <w:lang w:val="en-US" w:eastAsia="en-US"/>
              </w:rPr>
            </w:pPr>
          </w:p>
          <w:p w:rsidR="00A66602" w:rsidRPr="000F2A19" w:rsidRDefault="00A66602" w:rsidP="000F2A19">
            <w:pPr>
              <w:pStyle w:val="Body-Text"/>
              <w:rPr>
                <w:sz w:val="16"/>
                <w:szCs w:val="16"/>
                <w:lang w:val="en-US" w:eastAsia="en-US"/>
              </w:rPr>
            </w:pPr>
            <w:r>
              <w:rPr>
                <w:sz w:val="16"/>
                <w:szCs w:val="16"/>
                <w:lang w:val="en-US" w:eastAsia="en-US"/>
              </w:rPr>
              <w:t>Ongoing</w:t>
            </w:r>
          </w:p>
          <w:p w:rsidR="00A66602" w:rsidRPr="000F2A19" w:rsidRDefault="00A66602" w:rsidP="000F2A19">
            <w:pPr>
              <w:pStyle w:val="Body-Text"/>
              <w:rPr>
                <w:sz w:val="16"/>
                <w:szCs w:val="16"/>
                <w:lang w:val="en-US" w:eastAsia="en-US"/>
              </w:rPr>
            </w:pPr>
            <w:r w:rsidRPr="000F2A19">
              <w:rPr>
                <w:sz w:val="16"/>
                <w:szCs w:val="16"/>
                <w:lang w:val="en-US" w:eastAsia="en-US"/>
              </w:rPr>
              <w:t>Ongoing</w:t>
            </w:r>
          </w:p>
        </w:tc>
      </w:tr>
      <w:tr w:rsidR="00C603AE" w:rsidRPr="000C6EB2" w:rsidTr="00C36904">
        <w:trPr>
          <w:trHeight w:val="360"/>
        </w:trPr>
        <w:tc>
          <w:tcPr>
            <w:tcW w:w="2073" w:type="dxa"/>
            <w:vMerge w:val="restart"/>
          </w:tcPr>
          <w:p w:rsidR="00C603AE" w:rsidRPr="00ED40A2" w:rsidRDefault="00C603AE" w:rsidP="00C603AE">
            <w:pPr>
              <w:pStyle w:val="Body-Text"/>
            </w:pPr>
            <w:r w:rsidRPr="000C6EB2">
              <w:rPr>
                <w:rFonts w:eastAsia="Times New Roman"/>
                <w:bCs w:val="0"/>
                <w:sz w:val="16"/>
                <w:szCs w:val="16"/>
              </w:rPr>
              <w:t>All students will achieve their numeracy expectation.</w:t>
            </w:r>
          </w:p>
          <w:p w:rsidR="00C603AE" w:rsidRPr="000C6EB2" w:rsidRDefault="00C603AE" w:rsidP="000C6EB2">
            <w:pPr>
              <w:spacing w:after="0"/>
              <w:rPr>
                <w:rFonts w:eastAsia="Times New Roman"/>
                <w:bCs w:val="0"/>
                <w:sz w:val="16"/>
                <w:szCs w:val="16"/>
                <w:lang w:eastAsia="zh-CN"/>
              </w:rPr>
            </w:pPr>
          </w:p>
        </w:tc>
        <w:tc>
          <w:tcPr>
            <w:tcW w:w="7555" w:type="dxa"/>
            <w:gridSpan w:val="2"/>
          </w:tcPr>
          <w:p w:rsidR="00C603AE" w:rsidRPr="00ED40A2" w:rsidRDefault="00C603AE" w:rsidP="00ED40A2">
            <w:pPr>
              <w:pStyle w:val="Body-Text"/>
              <w:rPr>
                <w:rFonts w:eastAsia="Times New Roman"/>
                <w:bCs w:val="0"/>
                <w:spacing w:val="10"/>
                <w:sz w:val="16"/>
                <w:szCs w:val="16"/>
                <w:lang w:val="en-US"/>
              </w:rPr>
            </w:pPr>
            <w:r w:rsidRPr="00ED40A2">
              <w:rPr>
                <w:rFonts w:eastAsia="Times New Roman"/>
                <w:bCs w:val="0"/>
                <w:spacing w:val="10"/>
                <w:sz w:val="16"/>
                <w:szCs w:val="16"/>
                <w:lang w:val="en-US"/>
              </w:rPr>
              <w:t>The conferencing approach will be further developed and strengthene</w:t>
            </w:r>
            <w:r>
              <w:rPr>
                <w:rFonts w:eastAsia="Times New Roman"/>
                <w:bCs w:val="0"/>
                <w:spacing w:val="10"/>
                <w:sz w:val="16"/>
                <w:szCs w:val="16"/>
                <w:lang w:val="en-US"/>
              </w:rPr>
              <w:t xml:space="preserve">d to implement precise numeracy </w:t>
            </w:r>
            <w:r w:rsidRPr="00ED40A2">
              <w:rPr>
                <w:rFonts w:eastAsia="Times New Roman"/>
                <w:bCs w:val="0"/>
                <w:spacing w:val="10"/>
                <w:sz w:val="16"/>
                <w:szCs w:val="16"/>
                <w:lang w:val="en-US"/>
              </w:rPr>
              <w:t>expectations for students</w:t>
            </w:r>
            <w:r>
              <w:rPr>
                <w:rFonts w:eastAsia="Times New Roman"/>
                <w:bCs w:val="0"/>
                <w:spacing w:val="10"/>
                <w:sz w:val="16"/>
                <w:szCs w:val="16"/>
                <w:lang w:val="en-US"/>
              </w:rPr>
              <w:t>.</w:t>
            </w:r>
          </w:p>
        </w:tc>
      </w:tr>
      <w:tr w:rsidR="00A66602" w:rsidRPr="000C6EB2" w:rsidTr="000F2A19">
        <w:tc>
          <w:tcPr>
            <w:tcW w:w="2073" w:type="dxa"/>
            <w:vMerge/>
          </w:tcPr>
          <w:p w:rsidR="00A66602" w:rsidRPr="000C6EB2" w:rsidRDefault="00A66602" w:rsidP="000C6EB2">
            <w:pPr>
              <w:spacing w:after="0"/>
              <w:rPr>
                <w:rFonts w:eastAsia="Times New Roman"/>
                <w:bCs w:val="0"/>
                <w:spacing w:val="10"/>
                <w:sz w:val="16"/>
                <w:szCs w:val="16"/>
                <w:lang w:val="en-US"/>
              </w:rPr>
            </w:pPr>
          </w:p>
        </w:tc>
        <w:tc>
          <w:tcPr>
            <w:tcW w:w="5577" w:type="dxa"/>
          </w:tcPr>
          <w:p w:rsidR="00A66602" w:rsidRPr="00D64155" w:rsidRDefault="00A66602" w:rsidP="00BF7695">
            <w:pPr>
              <w:numPr>
                <w:ilvl w:val="0"/>
                <w:numId w:val="21"/>
              </w:numPr>
              <w:spacing w:after="0" w:line="276" w:lineRule="auto"/>
              <w:contextualSpacing/>
              <w:rPr>
                <w:rFonts w:eastAsia="Times New Roman"/>
                <w:bCs w:val="0"/>
                <w:sz w:val="16"/>
                <w:szCs w:val="16"/>
                <w:lang w:eastAsia="zh-CN"/>
              </w:rPr>
            </w:pPr>
            <w:r w:rsidRPr="00D64155">
              <w:rPr>
                <w:rFonts w:eastAsia="Times New Roman"/>
                <w:bCs w:val="0"/>
                <w:sz w:val="16"/>
                <w:szCs w:val="16"/>
                <w:lang w:eastAsia="zh-CN"/>
              </w:rPr>
              <w:t>New Feedback coaches are added to the team. The Head of Curriculum provides coaching and feedback during Conferencing sessions as well as organising targeted professional development.</w:t>
            </w:r>
          </w:p>
          <w:p w:rsidR="00A66602" w:rsidRPr="00D64155" w:rsidRDefault="00A66602" w:rsidP="00D64155">
            <w:pPr>
              <w:numPr>
                <w:ilvl w:val="0"/>
                <w:numId w:val="21"/>
              </w:numPr>
              <w:spacing w:after="0" w:line="276" w:lineRule="auto"/>
              <w:contextualSpacing/>
              <w:rPr>
                <w:rFonts w:eastAsia="Times New Roman"/>
                <w:bCs w:val="0"/>
                <w:sz w:val="16"/>
                <w:szCs w:val="16"/>
                <w:lang w:eastAsia="zh-CN"/>
              </w:rPr>
            </w:pPr>
            <w:r w:rsidRPr="00D64155">
              <w:rPr>
                <w:rFonts w:eastAsia="Times New Roman"/>
                <w:bCs w:val="0"/>
                <w:sz w:val="16"/>
                <w:szCs w:val="16"/>
                <w:lang w:eastAsia="zh-CN"/>
              </w:rPr>
              <w:lastRenderedPageBreak/>
              <w:t>The Conferencing Approach used to develop numeracy expectations, is strengthened by implementing regular sessions of conferencing.</w:t>
            </w:r>
          </w:p>
          <w:p w:rsidR="00A66602" w:rsidRPr="00D64155" w:rsidRDefault="00A66602" w:rsidP="00D64155">
            <w:pPr>
              <w:numPr>
                <w:ilvl w:val="0"/>
                <w:numId w:val="21"/>
              </w:numPr>
              <w:spacing w:after="0" w:line="276" w:lineRule="auto"/>
              <w:contextualSpacing/>
              <w:rPr>
                <w:rFonts w:eastAsia="Times New Roman"/>
                <w:bCs w:val="0"/>
                <w:sz w:val="16"/>
                <w:szCs w:val="16"/>
                <w:lang w:eastAsia="zh-CN"/>
              </w:rPr>
            </w:pPr>
            <w:r w:rsidRPr="00D64155">
              <w:rPr>
                <w:rFonts w:eastAsia="Times New Roman"/>
                <w:bCs w:val="0"/>
                <w:sz w:val="16"/>
                <w:szCs w:val="16"/>
                <w:lang w:eastAsia="zh-CN"/>
              </w:rPr>
              <w:t>Conferencing between teachers and Peer Feedback Coaches occurs regularly. All teachers participate in the conferencing process.</w:t>
            </w:r>
          </w:p>
          <w:p w:rsidR="00A66602" w:rsidRPr="00D64155" w:rsidRDefault="00A66602" w:rsidP="00D64155">
            <w:pPr>
              <w:numPr>
                <w:ilvl w:val="0"/>
                <w:numId w:val="21"/>
              </w:numPr>
              <w:spacing w:after="0" w:line="276" w:lineRule="auto"/>
              <w:contextualSpacing/>
              <w:rPr>
                <w:rFonts w:eastAsia="Times New Roman"/>
                <w:bCs w:val="0"/>
                <w:sz w:val="16"/>
                <w:szCs w:val="16"/>
                <w:lang w:eastAsia="zh-CN"/>
              </w:rPr>
            </w:pPr>
            <w:r w:rsidRPr="00D64155">
              <w:rPr>
                <w:rFonts w:eastAsia="Times New Roman"/>
                <w:bCs w:val="0"/>
                <w:sz w:val="16"/>
                <w:szCs w:val="16"/>
                <w:lang w:eastAsia="zh-CN"/>
              </w:rPr>
              <w:t>Increase the range of maths resources for teachers and students.</w:t>
            </w:r>
          </w:p>
          <w:p w:rsidR="00A66602" w:rsidRPr="00D64155" w:rsidRDefault="00A66602" w:rsidP="00D64155">
            <w:pPr>
              <w:pStyle w:val="Body-Text"/>
              <w:numPr>
                <w:ilvl w:val="0"/>
                <w:numId w:val="21"/>
              </w:numPr>
              <w:rPr>
                <w:sz w:val="16"/>
                <w:szCs w:val="16"/>
              </w:rPr>
            </w:pPr>
            <w:r w:rsidRPr="00D64155">
              <w:rPr>
                <w:sz w:val="16"/>
                <w:szCs w:val="16"/>
              </w:rPr>
              <w:t>Data Wall is maintained as the visual representation of student achievement.</w:t>
            </w:r>
          </w:p>
        </w:tc>
        <w:tc>
          <w:tcPr>
            <w:tcW w:w="1978" w:type="dxa"/>
          </w:tcPr>
          <w:p w:rsidR="00A66602" w:rsidRDefault="00A66602" w:rsidP="000F2A19">
            <w:pPr>
              <w:spacing w:after="0" w:line="276" w:lineRule="auto"/>
              <w:contextualSpacing/>
              <w:jc w:val="both"/>
              <w:rPr>
                <w:rFonts w:eastAsia="Times New Roman"/>
                <w:bCs w:val="0"/>
                <w:sz w:val="16"/>
                <w:szCs w:val="16"/>
                <w:lang w:eastAsia="zh-CN"/>
              </w:rPr>
            </w:pPr>
            <w:r>
              <w:rPr>
                <w:rFonts w:eastAsia="Times New Roman"/>
                <w:bCs w:val="0"/>
                <w:sz w:val="16"/>
                <w:szCs w:val="16"/>
                <w:lang w:eastAsia="zh-CN"/>
              </w:rPr>
              <w:lastRenderedPageBreak/>
              <w:t>Term One</w:t>
            </w:r>
          </w:p>
          <w:p w:rsidR="00A66602" w:rsidRDefault="00A66602" w:rsidP="000F2A19">
            <w:pPr>
              <w:pStyle w:val="Body-Text"/>
            </w:pPr>
          </w:p>
          <w:p w:rsidR="00A66602" w:rsidRDefault="00A66602" w:rsidP="000F2A19">
            <w:pPr>
              <w:pStyle w:val="Body-Text"/>
              <w:rPr>
                <w:sz w:val="16"/>
                <w:szCs w:val="16"/>
              </w:rPr>
            </w:pPr>
          </w:p>
          <w:p w:rsidR="00A66602" w:rsidRDefault="00A66602" w:rsidP="000F2A19">
            <w:pPr>
              <w:pStyle w:val="Body-Text"/>
              <w:rPr>
                <w:sz w:val="16"/>
                <w:szCs w:val="16"/>
              </w:rPr>
            </w:pPr>
            <w:r w:rsidRPr="000F2A19">
              <w:rPr>
                <w:sz w:val="16"/>
                <w:szCs w:val="16"/>
              </w:rPr>
              <w:lastRenderedPageBreak/>
              <w:t>Ongoing</w:t>
            </w:r>
          </w:p>
          <w:p w:rsidR="00A66602" w:rsidRDefault="00A66602" w:rsidP="000F2A19">
            <w:pPr>
              <w:pStyle w:val="Body-Text"/>
              <w:rPr>
                <w:sz w:val="16"/>
                <w:szCs w:val="16"/>
              </w:rPr>
            </w:pPr>
          </w:p>
          <w:p w:rsidR="00A66602" w:rsidRDefault="00A66602" w:rsidP="000F2A19">
            <w:pPr>
              <w:pStyle w:val="Body-Text"/>
              <w:rPr>
                <w:sz w:val="16"/>
                <w:szCs w:val="16"/>
              </w:rPr>
            </w:pPr>
            <w:r>
              <w:rPr>
                <w:sz w:val="16"/>
                <w:szCs w:val="16"/>
              </w:rPr>
              <w:t>Ongoing</w:t>
            </w:r>
          </w:p>
          <w:p w:rsidR="00A66602" w:rsidRDefault="00A66602" w:rsidP="000F2A19">
            <w:pPr>
              <w:pStyle w:val="Body-Text"/>
              <w:rPr>
                <w:sz w:val="16"/>
                <w:szCs w:val="16"/>
              </w:rPr>
            </w:pPr>
          </w:p>
          <w:p w:rsidR="00A66602" w:rsidRDefault="00A66602" w:rsidP="000F2A19">
            <w:pPr>
              <w:pStyle w:val="Body-Text"/>
              <w:rPr>
                <w:sz w:val="16"/>
                <w:szCs w:val="16"/>
              </w:rPr>
            </w:pPr>
            <w:r>
              <w:rPr>
                <w:sz w:val="16"/>
                <w:szCs w:val="16"/>
              </w:rPr>
              <w:t>Ongoing</w:t>
            </w:r>
          </w:p>
          <w:p w:rsidR="00A66602" w:rsidRPr="000F2A19" w:rsidRDefault="00A66602" w:rsidP="000F2A19">
            <w:pPr>
              <w:pStyle w:val="Body-Text"/>
              <w:rPr>
                <w:sz w:val="16"/>
                <w:szCs w:val="16"/>
              </w:rPr>
            </w:pPr>
            <w:r>
              <w:rPr>
                <w:sz w:val="16"/>
                <w:szCs w:val="16"/>
              </w:rPr>
              <w:t>Ongoing</w:t>
            </w:r>
          </w:p>
        </w:tc>
      </w:tr>
      <w:tr w:rsidR="000F2A19" w:rsidRPr="000C6EB2" w:rsidTr="00281CF2">
        <w:tc>
          <w:tcPr>
            <w:tcW w:w="9628" w:type="dxa"/>
            <w:gridSpan w:val="3"/>
          </w:tcPr>
          <w:p w:rsidR="000F2A19" w:rsidRPr="000C6EB2" w:rsidRDefault="000F2A19" w:rsidP="000C6EB2">
            <w:pPr>
              <w:spacing w:after="0"/>
              <w:jc w:val="center"/>
              <w:rPr>
                <w:rFonts w:eastAsia="Times New Roman" w:cs="Times New Roman"/>
                <w:bCs w:val="0"/>
                <w:i/>
                <w:spacing w:val="10"/>
                <w:sz w:val="16"/>
                <w:szCs w:val="16"/>
                <w:lang w:val="en-US"/>
              </w:rPr>
            </w:pPr>
            <w:r w:rsidRPr="000C6EB2">
              <w:rPr>
                <w:rFonts w:eastAsia="Times New Roman" w:cs="Times New Roman"/>
                <w:bCs w:val="0"/>
                <w:i/>
                <w:spacing w:val="10"/>
                <w:sz w:val="16"/>
                <w:szCs w:val="16"/>
                <w:lang w:val="en-US"/>
              </w:rPr>
              <w:lastRenderedPageBreak/>
              <w:t xml:space="preserve">The Clifford Park Special School Investing For Schools (I4S) document outlines specific timelines and </w:t>
            </w:r>
            <w:r>
              <w:rPr>
                <w:rFonts w:eastAsia="Times New Roman" w:cs="Times New Roman"/>
                <w:bCs w:val="0"/>
                <w:i/>
                <w:spacing w:val="10"/>
                <w:sz w:val="16"/>
                <w:szCs w:val="16"/>
                <w:lang w:val="en-US"/>
              </w:rPr>
              <w:t>targets associated with the 2019</w:t>
            </w:r>
            <w:r w:rsidRPr="000C6EB2">
              <w:rPr>
                <w:rFonts w:eastAsia="Times New Roman" w:cs="Times New Roman"/>
                <w:bCs w:val="0"/>
                <w:i/>
                <w:spacing w:val="10"/>
                <w:sz w:val="16"/>
                <w:szCs w:val="16"/>
                <w:lang w:val="en-US"/>
              </w:rPr>
              <w:t xml:space="preserve"> Explicit Improvement Agenda</w:t>
            </w:r>
            <w:r>
              <w:rPr>
                <w:rFonts w:eastAsia="Times New Roman" w:cs="Times New Roman"/>
                <w:bCs w:val="0"/>
                <w:i/>
                <w:spacing w:val="10"/>
                <w:sz w:val="16"/>
                <w:szCs w:val="16"/>
                <w:lang w:val="en-US"/>
              </w:rPr>
              <w:t>.</w:t>
            </w:r>
          </w:p>
        </w:tc>
      </w:tr>
    </w:tbl>
    <w:p w:rsidR="000C6EB2" w:rsidRPr="000C6EB2" w:rsidRDefault="000C6EB2" w:rsidP="0082795C">
      <w:pPr>
        <w:pStyle w:val="Body-Text"/>
        <w:rPr>
          <w:lang w:val="en-US"/>
        </w:rPr>
      </w:pPr>
    </w:p>
    <w:p w:rsidR="000C6EB2" w:rsidRDefault="001F2E19" w:rsidP="00D34AB9">
      <w:pPr>
        <w:autoSpaceDE w:val="0"/>
        <w:autoSpaceDN w:val="0"/>
        <w:adjustRightInd w:val="0"/>
        <w:spacing w:after="0"/>
        <w:rPr>
          <w:rFonts w:eastAsia="SimSun"/>
          <w:bCs w:val="0"/>
          <w:sz w:val="20"/>
          <w:lang w:eastAsia="zh-TW"/>
        </w:rPr>
      </w:pPr>
      <w:r>
        <w:t>Other priority areas of the Quadrennial School plan will continue to unfold during 2019.  The highlight of the year will be the formal release and dissemination of our new vision, mission and logos</w:t>
      </w:r>
      <w:r>
        <w:rPr>
          <w:rFonts w:eastAsia="SimSun"/>
          <w:bCs w:val="0"/>
          <w:sz w:val="20"/>
          <w:lang w:eastAsia="zh-TW"/>
        </w:rPr>
        <w:t xml:space="preserve"> via the schools' communication networks. A formal function, inclusive of all stakeholders, will be organised to celebrat</w:t>
      </w:r>
      <w:r w:rsidR="00D34AB9">
        <w:rPr>
          <w:rFonts w:eastAsia="SimSun"/>
          <w:bCs w:val="0"/>
          <w:sz w:val="20"/>
          <w:lang w:eastAsia="zh-TW"/>
        </w:rPr>
        <w:t>e its release.  The school’s new branding will be</w:t>
      </w:r>
      <w:r w:rsidR="00D34AB9" w:rsidRPr="00D34AB9">
        <w:rPr>
          <w:rFonts w:eastAsia="SimSun"/>
          <w:bCs w:val="0"/>
          <w:sz w:val="20"/>
          <w:lang w:eastAsia="zh-TW"/>
        </w:rPr>
        <w:t xml:space="preserve"> embedded in all communication channels and</w:t>
      </w:r>
      <w:r w:rsidR="00D34AB9">
        <w:rPr>
          <w:rFonts w:eastAsia="SimSun"/>
          <w:bCs w:val="0"/>
          <w:sz w:val="20"/>
          <w:lang w:eastAsia="zh-TW"/>
        </w:rPr>
        <w:t xml:space="preserve"> will be </w:t>
      </w:r>
      <w:r w:rsidR="00D34AB9" w:rsidRPr="00D34AB9">
        <w:rPr>
          <w:rFonts w:eastAsia="SimSun"/>
          <w:bCs w:val="0"/>
          <w:sz w:val="20"/>
          <w:lang w:eastAsia="zh-TW"/>
        </w:rPr>
        <w:t>visuall</w:t>
      </w:r>
      <w:r w:rsidR="00D34AB9">
        <w:rPr>
          <w:rFonts w:eastAsia="SimSun"/>
          <w:bCs w:val="0"/>
          <w:sz w:val="20"/>
          <w:lang w:eastAsia="zh-TW"/>
        </w:rPr>
        <w:t>y represented within the school and in the community.</w:t>
      </w:r>
    </w:p>
    <w:p w:rsidR="000C6EB2" w:rsidRDefault="000C6EB2" w:rsidP="0082795C">
      <w:pPr>
        <w:pStyle w:val="Body-Text"/>
      </w:pPr>
    </w:p>
    <w:p w:rsidR="00401F60" w:rsidRDefault="00401F60" w:rsidP="0082795C">
      <w:pPr>
        <w:pStyle w:val="Body-Text"/>
        <w:rPr>
          <w:b/>
          <w:u w:val="single"/>
        </w:rPr>
      </w:pPr>
      <w:r w:rsidRPr="00401F60">
        <w:rPr>
          <w:b/>
          <w:u w:val="single"/>
        </w:rPr>
        <w:t xml:space="preserve">Denise Kable Campus </w:t>
      </w:r>
      <w:r w:rsidR="00C603AE">
        <w:rPr>
          <w:b/>
          <w:u w:val="single"/>
        </w:rPr>
        <w:t>Future Outlook</w:t>
      </w:r>
    </w:p>
    <w:p w:rsidR="00C603AE" w:rsidRDefault="00C603AE" w:rsidP="0082795C">
      <w:pPr>
        <w:pStyle w:val="Body-Text"/>
        <w:rPr>
          <w:b/>
          <w:u w:val="single"/>
        </w:rPr>
      </w:pPr>
    </w:p>
    <w:tbl>
      <w:tblPr>
        <w:tblStyle w:val="TableGrid3"/>
        <w:tblW w:w="9628" w:type="dxa"/>
        <w:tblLook w:val="04A0" w:firstRow="1" w:lastRow="0" w:firstColumn="1" w:lastColumn="0" w:noHBand="0" w:noVBand="1"/>
      </w:tblPr>
      <w:tblGrid>
        <w:gridCol w:w="3397"/>
        <w:gridCol w:w="4253"/>
        <w:gridCol w:w="1978"/>
      </w:tblGrid>
      <w:tr w:rsidR="00B17942" w:rsidTr="00281CF2">
        <w:tc>
          <w:tcPr>
            <w:tcW w:w="9628" w:type="dxa"/>
            <w:gridSpan w:val="3"/>
          </w:tcPr>
          <w:p w:rsidR="00B17942" w:rsidRPr="000C6EB2" w:rsidRDefault="00B17942" w:rsidP="00281CF2">
            <w:pPr>
              <w:spacing w:after="0"/>
              <w:jc w:val="center"/>
              <w:rPr>
                <w:rFonts w:eastAsia="Times New Roman" w:cs="Times New Roman"/>
                <w:bCs w:val="0"/>
                <w:i/>
                <w:spacing w:val="10"/>
                <w:sz w:val="16"/>
                <w:szCs w:val="16"/>
                <w:u w:val="single"/>
                <w:lang w:val="en-US"/>
              </w:rPr>
            </w:pPr>
            <w:r>
              <w:rPr>
                <w:rFonts w:eastAsia="Times New Roman" w:cs="Times New Roman"/>
                <w:bCs w:val="0"/>
                <w:i/>
                <w:spacing w:val="10"/>
                <w:sz w:val="16"/>
                <w:szCs w:val="16"/>
                <w:u w:val="single"/>
                <w:lang w:val="en-US"/>
              </w:rPr>
              <w:t>2019</w:t>
            </w:r>
            <w:r w:rsidR="006D2C75">
              <w:rPr>
                <w:rFonts w:eastAsia="Times New Roman" w:cs="Times New Roman"/>
                <w:bCs w:val="0"/>
                <w:i/>
                <w:spacing w:val="10"/>
                <w:sz w:val="16"/>
                <w:szCs w:val="16"/>
                <w:u w:val="single"/>
                <w:lang w:val="en-US"/>
              </w:rPr>
              <w:t xml:space="preserve"> </w:t>
            </w:r>
            <w:r w:rsidRPr="000C6EB2">
              <w:rPr>
                <w:rFonts w:eastAsia="Times New Roman" w:cs="Times New Roman"/>
                <w:bCs w:val="0"/>
                <w:i/>
                <w:spacing w:val="10"/>
                <w:sz w:val="16"/>
                <w:szCs w:val="16"/>
                <w:u w:val="single"/>
                <w:lang w:val="en-US"/>
              </w:rPr>
              <w:t>Improvement Agenda</w:t>
            </w:r>
          </w:p>
          <w:p w:rsidR="00B17942" w:rsidRDefault="00B17942" w:rsidP="00281CF2">
            <w:pPr>
              <w:spacing w:after="0"/>
              <w:jc w:val="center"/>
              <w:rPr>
                <w:rFonts w:eastAsia="Times New Roman" w:cs="Times New Roman"/>
                <w:bCs w:val="0"/>
                <w:i/>
                <w:spacing w:val="10"/>
                <w:sz w:val="16"/>
                <w:szCs w:val="16"/>
                <w:u w:val="single"/>
                <w:lang w:val="en-US"/>
              </w:rPr>
            </w:pPr>
          </w:p>
        </w:tc>
      </w:tr>
      <w:tr w:rsidR="00B17942" w:rsidRPr="000C6EB2" w:rsidTr="006D2C75">
        <w:tc>
          <w:tcPr>
            <w:tcW w:w="3397" w:type="dxa"/>
          </w:tcPr>
          <w:p w:rsidR="00B17942" w:rsidRPr="000C6EB2" w:rsidRDefault="006D2C75" w:rsidP="00281CF2">
            <w:pPr>
              <w:spacing w:after="0"/>
              <w:jc w:val="center"/>
              <w:rPr>
                <w:rFonts w:eastAsia="Times New Roman" w:cs="Times New Roman"/>
                <w:bCs w:val="0"/>
                <w:spacing w:val="10"/>
                <w:sz w:val="16"/>
                <w:szCs w:val="16"/>
                <w:lang w:val="en-US"/>
              </w:rPr>
            </w:pPr>
            <w:r>
              <w:rPr>
                <w:rFonts w:eastAsia="Times New Roman" w:cs="Times New Roman"/>
                <w:bCs w:val="0"/>
                <w:spacing w:val="10"/>
                <w:sz w:val="16"/>
                <w:szCs w:val="16"/>
                <w:lang w:val="en-US"/>
              </w:rPr>
              <w:t>DKC – Positive Learning Centre and TALES Targets</w:t>
            </w:r>
          </w:p>
        </w:tc>
        <w:tc>
          <w:tcPr>
            <w:tcW w:w="4253" w:type="dxa"/>
          </w:tcPr>
          <w:p w:rsidR="00B17942" w:rsidRPr="000C6EB2" w:rsidRDefault="00B17942" w:rsidP="00DC4D73">
            <w:pPr>
              <w:spacing w:after="0"/>
              <w:jc w:val="center"/>
              <w:rPr>
                <w:rFonts w:eastAsia="Times New Roman" w:cs="Times New Roman"/>
                <w:bCs w:val="0"/>
                <w:spacing w:val="10"/>
                <w:sz w:val="16"/>
                <w:szCs w:val="16"/>
                <w:lang w:val="en-US"/>
              </w:rPr>
            </w:pPr>
            <w:r w:rsidRPr="000C6EB2">
              <w:rPr>
                <w:rFonts w:eastAsia="Times New Roman" w:cs="Times New Roman"/>
                <w:bCs w:val="0"/>
                <w:spacing w:val="10"/>
                <w:sz w:val="16"/>
                <w:szCs w:val="16"/>
                <w:lang w:val="en-US"/>
              </w:rPr>
              <w:t xml:space="preserve">Strategies </w:t>
            </w:r>
          </w:p>
        </w:tc>
        <w:tc>
          <w:tcPr>
            <w:tcW w:w="1978" w:type="dxa"/>
          </w:tcPr>
          <w:p w:rsidR="00B17942" w:rsidRPr="000C6EB2" w:rsidRDefault="00B17942" w:rsidP="00281CF2">
            <w:pPr>
              <w:spacing w:after="0"/>
              <w:jc w:val="center"/>
              <w:rPr>
                <w:rFonts w:eastAsia="Times New Roman" w:cs="Times New Roman"/>
                <w:bCs w:val="0"/>
                <w:spacing w:val="10"/>
                <w:sz w:val="16"/>
                <w:szCs w:val="16"/>
                <w:lang w:val="en-US"/>
              </w:rPr>
            </w:pPr>
            <w:r>
              <w:rPr>
                <w:rFonts w:eastAsia="Times New Roman" w:cs="Times New Roman"/>
                <w:bCs w:val="0"/>
                <w:spacing w:val="10"/>
                <w:sz w:val="16"/>
                <w:szCs w:val="16"/>
                <w:lang w:val="en-US"/>
              </w:rPr>
              <w:t>Timeline</w:t>
            </w:r>
          </w:p>
        </w:tc>
      </w:tr>
      <w:tr w:rsidR="00DC4D73" w:rsidRPr="00ED40A2" w:rsidTr="00281CF2">
        <w:trPr>
          <w:trHeight w:val="2564"/>
        </w:trPr>
        <w:tc>
          <w:tcPr>
            <w:tcW w:w="3397" w:type="dxa"/>
          </w:tcPr>
          <w:p w:rsidR="00DC4D73" w:rsidRPr="006D2C75" w:rsidRDefault="00DC4D73" w:rsidP="006D2C75">
            <w:pPr>
              <w:pStyle w:val="Body-Text"/>
              <w:rPr>
                <w:rFonts w:eastAsia="Times New Roman"/>
                <w:bCs w:val="0"/>
                <w:sz w:val="16"/>
                <w:szCs w:val="16"/>
              </w:rPr>
            </w:pPr>
            <w:r>
              <w:rPr>
                <w:rFonts w:eastAsia="Times New Roman"/>
                <w:bCs w:val="0"/>
                <w:sz w:val="16"/>
                <w:szCs w:val="16"/>
              </w:rPr>
              <w:t>-</w:t>
            </w:r>
            <w:r w:rsidRPr="006D2C75">
              <w:rPr>
                <w:rFonts w:eastAsia="Times New Roman"/>
                <w:bCs w:val="0"/>
                <w:sz w:val="16"/>
                <w:szCs w:val="16"/>
              </w:rPr>
              <w:t xml:space="preserve">Reduce the SDA and exclusion rates (DDSWR disability dashboard) for identified students </w:t>
            </w:r>
            <w:r>
              <w:rPr>
                <w:rFonts w:eastAsia="Times New Roman"/>
                <w:bCs w:val="0"/>
                <w:sz w:val="16"/>
                <w:szCs w:val="16"/>
              </w:rPr>
              <w:t xml:space="preserve">(DDA-social) transitioning into </w:t>
            </w:r>
            <w:r w:rsidRPr="006D2C75">
              <w:rPr>
                <w:rFonts w:eastAsia="Times New Roman"/>
                <w:bCs w:val="0"/>
                <w:sz w:val="16"/>
                <w:szCs w:val="16"/>
              </w:rPr>
              <w:t>secondary context.</w:t>
            </w:r>
          </w:p>
          <w:p w:rsidR="00DC4D73" w:rsidRPr="006D2C75" w:rsidRDefault="00DC4D73" w:rsidP="006D2C75">
            <w:pPr>
              <w:pStyle w:val="Body-Text"/>
              <w:rPr>
                <w:rFonts w:eastAsia="Times New Roman"/>
                <w:bCs w:val="0"/>
                <w:sz w:val="16"/>
                <w:szCs w:val="16"/>
              </w:rPr>
            </w:pPr>
            <w:r>
              <w:rPr>
                <w:rFonts w:eastAsia="Times New Roman"/>
                <w:bCs w:val="0"/>
                <w:sz w:val="16"/>
                <w:szCs w:val="16"/>
              </w:rPr>
              <w:t>-</w:t>
            </w:r>
            <w:r w:rsidRPr="006D2C75">
              <w:rPr>
                <w:rFonts w:eastAsia="Times New Roman"/>
                <w:bCs w:val="0"/>
                <w:sz w:val="16"/>
                <w:szCs w:val="16"/>
              </w:rPr>
              <w:t>Tiered Fidelity Inventory (TFI) score of at least 80%.</w:t>
            </w:r>
          </w:p>
          <w:p w:rsidR="00DC4D73" w:rsidRPr="006D2C75" w:rsidRDefault="00DC4D73" w:rsidP="006D2C75">
            <w:pPr>
              <w:pStyle w:val="Body-Text"/>
              <w:rPr>
                <w:rFonts w:eastAsia="Times New Roman"/>
                <w:bCs w:val="0"/>
                <w:sz w:val="16"/>
                <w:szCs w:val="16"/>
              </w:rPr>
            </w:pPr>
            <w:r>
              <w:rPr>
                <w:rFonts w:eastAsia="Times New Roman"/>
                <w:bCs w:val="0"/>
                <w:sz w:val="16"/>
                <w:szCs w:val="16"/>
              </w:rPr>
              <w:t>-</w:t>
            </w:r>
            <w:r w:rsidRPr="006D2C75">
              <w:rPr>
                <w:rFonts w:eastAsia="Times New Roman"/>
                <w:bCs w:val="0"/>
                <w:sz w:val="16"/>
                <w:szCs w:val="16"/>
              </w:rPr>
              <w:t>100% of students transition back into mainstream education or alternative learning pathways.</w:t>
            </w:r>
          </w:p>
          <w:p w:rsidR="00DC4D73" w:rsidRPr="000C6EB2" w:rsidRDefault="00DC4D73" w:rsidP="006D2C75">
            <w:pPr>
              <w:pStyle w:val="Body-Text"/>
              <w:rPr>
                <w:rFonts w:eastAsia="Times New Roman"/>
                <w:bCs w:val="0"/>
                <w:sz w:val="16"/>
                <w:szCs w:val="16"/>
              </w:rPr>
            </w:pPr>
            <w:r>
              <w:rPr>
                <w:rFonts w:eastAsia="Times New Roman"/>
                <w:bCs w:val="0"/>
                <w:sz w:val="16"/>
                <w:szCs w:val="16"/>
              </w:rPr>
              <w:t>-</w:t>
            </w:r>
            <w:r w:rsidRPr="006D2C75">
              <w:rPr>
                <w:rFonts w:eastAsia="Times New Roman"/>
                <w:bCs w:val="0"/>
                <w:sz w:val="16"/>
                <w:szCs w:val="16"/>
              </w:rPr>
              <w:t>Reduced rates of re-referral for TALES and PLC students.</w:t>
            </w:r>
          </w:p>
        </w:tc>
        <w:tc>
          <w:tcPr>
            <w:tcW w:w="4253" w:type="dxa"/>
          </w:tcPr>
          <w:p w:rsidR="00DC4D73" w:rsidRPr="00C603AE" w:rsidRDefault="00DC4D73" w:rsidP="00DC4D73">
            <w:pPr>
              <w:pStyle w:val="ListParagraph"/>
              <w:numPr>
                <w:ilvl w:val="0"/>
                <w:numId w:val="23"/>
              </w:numPr>
              <w:spacing w:after="0"/>
              <w:rPr>
                <w:rFonts w:eastAsia="Times New Roman"/>
                <w:bCs w:val="0"/>
                <w:spacing w:val="10"/>
                <w:sz w:val="16"/>
                <w:szCs w:val="16"/>
                <w:lang w:val="en-US"/>
              </w:rPr>
            </w:pPr>
            <w:r w:rsidRPr="00C603AE">
              <w:rPr>
                <w:rFonts w:eastAsia="Times New Roman"/>
                <w:bCs w:val="0"/>
                <w:spacing w:val="10"/>
                <w:sz w:val="16"/>
                <w:szCs w:val="16"/>
                <w:lang w:val="en-US"/>
              </w:rPr>
              <w:t>Student achievement and engagement data is used to inform collaborative decisions regarding the allocation of resources, reflecting a whole school approach to support student learning</w:t>
            </w:r>
            <w:r w:rsidR="00C603AE" w:rsidRPr="00C603AE">
              <w:rPr>
                <w:rFonts w:eastAsia="Times New Roman"/>
                <w:bCs w:val="0"/>
                <w:spacing w:val="10"/>
                <w:sz w:val="16"/>
                <w:szCs w:val="16"/>
                <w:lang w:val="en-US"/>
              </w:rPr>
              <w:t>.</w:t>
            </w:r>
          </w:p>
          <w:p w:rsidR="00DC4D73" w:rsidRPr="00C603AE" w:rsidRDefault="00DC4D73" w:rsidP="00DC4D73">
            <w:pPr>
              <w:pStyle w:val="ListParagraph"/>
              <w:numPr>
                <w:ilvl w:val="0"/>
                <w:numId w:val="23"/>
              </w:numPr>
              <w:spacing w:after="0"/>
              <w:rPr>
                <w:rFonts w:eastAsia="Times New Roman"/>
                <w:bCs w:val="0"/>
                <w:spacing w:val="10"/>
                <w:sz w:val="16"/>
                <w:szCs w:val="16"/>
                <w:lang w:val="en-US"/>
              </w:rPr>
            </w:pPr>
            <w:r w:rsidRPr="00C603AE">
              <w:rPr>
                <w:rFonts w:eastAsia="Times New Roman"/>
                <w:bCs w:val="0"/>
                <w:spacing w:val="10"/>
                <w:sz w:val="16"/>
                <w:szCs w:val="16"/>
                <w:lang w:val="en-US"/>
              </w:rPr>
              <w:t>DKC and external professional learning to be based on data analysis.</w:t>
            </w:r>
          </w:p>
          <w:p w:rsidR="00DC4D73" w:rsidRPr="00C603AE" w:rsidRDefault="00DC4D73" w:rsidP="00DC4D73">
            <w:pPr>
              <w:pStyle w:val="ListParagraph"/>
              <w:numPr>
                <w:ilvl w:val="0"/>
                <w:numId w:val="23"/>
              </w:numPr>
              <w:spacing w:after="0" w:line="276" w:lineRule="auto"/>
              <w:rPr>
                <w:rFonts w:eastAsia="Times New Roman"/>
                <w:bCs w:val="0"/>
                <w:sz w:val="16"/>
                <w:szCs w:val="16"/>
                <w:lang w:val="en-US" w:eastAsia="zh-CN"/>
              </w:rPr>
            </w:pPr>
            <w:r w:rsidRPr="00C603AE">
              <w:rPr>
                <w:rFonts w:eastAsia="Times New Roman"/>
                <w:bCs w:val="0"/>
                <w:sz w:val="16"/>
                <w:szCs w:val="16"/>
                <w:lang w:val="en-US" w:eastAsia="zh-CN"/>
              </w:rPr>
              <w:t>Tier II and III implemented with fidelity</w:t>
            </w:r>
          </w:p>
          <w:p w:rsidR="00DC4D73" w:rsidRPr="006D2C75" w:rsidRDefault="00DC4D73" w:rsidP="006D2C75">
            <w:pPr>
              <w:spacing w:after="0" w:line="276" w:lineRule="auto"/>
              <w:rPr>
                <w:rFonts w:eastAsia="Times New Roman"/>
                <w:bCs w:val="0"/>
                <w:spacing w:val="10"/>
                <w:sz w:val="16"/>
                <w:szCs w:val="16"/>
                <w:lang w:val="en-US"/>
              </w:rPr>
            </w:pPr>
          </w:p>
        </w:tc>
        <w:tc>
          <w:tcPr>
            <w:tcW w:w="1978" w:type="dxa"/>
          </w:tcPr>
          <w:p w:rsidR="00DC4D73" w:rsidRDefault="00DC4D73" w:rsidP="00DC4D73">
            <w:pPr>
              <w:spacing w:after="0"/>
              <w:rPr>
                <w:rFonts w:eastAsia="Times New Roman"/>
                <w:bCs w:val="0"/>
                <w:spacing w:val="10"/>
                <w:sz w:val="16"/>
                <w:szCs w:val="16"/>
                <w:lang w:val="en-US"/>
              </w:rPr>
            </w:pPr>
            <w:r w:rsidRPr="000F2A19">
              <w:rPr>
                <w:rFonts w:eastAsia="Times New Roman"/>
                <w:bCs w:val="0"/>
                <w:spacing w:val="10"/>
                <w:sz w:val="16"/>
                <w:szCs w:val="16"/>
                <w:lang w:val="en-US"/>
              </w:rPr>
              <w:t>Ongoing</w:t>
            </w:r>
          </w:p>
          <w:p w:rsidR="00DC4D73" w:rsidRPr="00ED40A2" w:rsidRDefault="00DC4D73" w:rsidP="00DC4D73">
            <w:pPr>
              <w:spacing w:after="0"/>
              <w:rPr>
                <w:rFonts w:eastAsia="Times New Roman"/>
                <w:bCs w:val="0"/>
                <w:spacing w:val="10"/>
                <w:sz w:val="16"/>
                <w:szCs w:val="16"/>
                <w:lang w:val="en-US"/>
              </w:rPr>
            </w:pPr>
          </w:p>
        </w:tc>
      </w:tr>
      <w:tr w:rsidR="00DC4D73" w:rsidRPr="00ED40A2" w:rsidTr="009D2764">
        <w:trPr>
          <w:trHeight w:val="462"/>
        </w:trPr>
        <w:tc>
          <w:tcPr>
            <w:tcW w:w="3397" w:type="dxa"/>
          </w:tcPr>
          <w:p w:rsidR="00DC4D73" w:rsidRDefault="00DC4D73" w:rsidP="009D2764">
            <w:pPr>
              <w:pStyle w:val="Body-Text"/>
              <w:jc w:val="center"/>
              <w:rPr>
                <w:rFonts w:eastAsia="Times New Roman"/>
                <w:bCs w:val="0"/>
                <w:sz w:val="16"/>
                <w:szCs w:val="16"/>
              </w:rPr>
            </w:pPr>
            <w:r>
              <w:rPr>
                <w:rFonts w:eastAsia="Times New Roman"/>
                <w:bCs w:val="0"/>
                <w:sz w:val="16"/>
                <w:szCs w:val="16"/>
              </w:rPr>
              <w:t>DDSWR – Behaviour Team Targets</w:t>
            </w:r>
          </w:p>
        </w:tc>
        <w:tc>
          <w:tcPr>
            <w:tcW w:w="4253" w:type="dxa"/>
          </w:tcPr>
          <w:p w:rsidR="00DC4D73" w:rsidRPr="00DC4D73" w:rsidRDefault="009D2764" w:rsidP="009D2764">
            <w:pPr>
              <w:spacing w:after="0"/>
              <w:jc w:val="center"/>
              <w:rPr>
                <w:rFonts w:eastAsia="Times New Roman" w:cs="Times New Roman"/>
                <w:bCs w:val="0"/>
                <w:spacing w:val="10"/>
                <w:sz w:val="16"/>
                <w:szCs w:val="16"/>
                <w:lang w:val="en-US"/>
              </w:rPr>
            </w:pPr>
            <w:r>
              <w:rPr>
                <w:rFonts w:eastAsia="Times New Roman" w:cs="Times New Roman"/>
                <w:bCs w:val="0"/>
                <w:spacing w:val="10"/>
                <w:sz w:val="16"/>
                <w:szCs w:val="16"/>
                <w:lang w:val="en-US"/>
              </w:rPr>
              <w:t>Strategies</w:t>
            </w:r>
          </w:p>
        </w:tc>
        <w:tc>
          <w:tcPr>
            <w:tcW w:w="1978" w:type="dxa"/>
          </w:tcPr>
          <w:p w:rsidR="00DC4D73" w:rsidRPr="000F2A19" w:rsidRDefault="009D2764" w:rsidP="009D2764">
            <w:pPr>
              <w:spacing w:after="0"/>
              <w:jc w:val="center"/>
              <w:rPr>
                <w:rFonts w:eastAsia="Times New Roman"/>
                <w:bCs w:val="0"/>
                <w:spacing w:val="10"/>
                <w:sz w:val="16"/>
                <w:szCs w:val="16"/>
                <w:lang w:val="en-US"/>
              </w:rPr>
            </w:pPr>
            <w:r>
              <w:rPr>
                <w:rFonts w:eastAsia="Times New Roman"/>
                <w:bCs w:val="0"/>
                <w:spacing w:val="10"/>
                <w:sz w:val="16"/>
                <w:szCs w:val="16"/>
                <w:lang w:val="en-US"/>
              </w:rPr>
              <w:t>Timeline</w:t>
            </w:r>
          </w:p>
        </w:tc>
      </w:tr>
      <w:tr w:rsidR="00DC4D73" w:rsidRPr="00ED40A2" w:rsidTr="00DC4D73">
        <w:trPr>
          <w:trHeight w:val="1122"/>
        </w:trPr>
        <w:tc>
          <w:tcPr>
            <w:tcW w:w="3397" w:type="dxa"/>
          </w:tcPr>
          <w:p w:rsidR="009D2764" w:rsidRPr="009D2764" w:rsidRDefault="009D2764" w:rsidP="009D2764">
            <w:pPr>
              <w:pStyle w:val="Body-Text"/>
              <w:rPr>
                <w:rFonts w:eastAsia="Times New Roman"/>
                <w:bCs w:val="0"/>
                <w:sz w:val="16"/>
                <w:szCs w:val="16"/>
              </w:rPr>
            </w:pPr>
            <w:r>
              <w:rPr>
                <w:rFonts w:eastAsia="Times New Roman"/>
                <w:bCs w:val="0"/>
                <w:sz w:val="16"/>
                <w:szCs w:val="16"/>
              </w:rPr>
              <w:t>-</w:t>
            </w:r>
            <w:r w:rsidRPr="009D2764">
              <w:rPr>
                <w:rFonts w:eastAsia="Times New Roman"/>
                <w:bCs w:val="0"/>
                <w:sz w:val="16"/>
                <w:szCs w:val="16"/>
              </w:rPr>
              <w:t>Regional portfolio documents link to the DDSWR tea</w:t>
            </w:r>
            <w:r>
              <w:rPr>
                <w:rFonts w:eastAsia="Times New Roman"/>
                <w:bCs w:val="0"/>
                <w:sz w:val="16"/>
                <w:szCs w:val="16"/>
              </w:rPr>
              <w:t xml:space="preserve">m site, DKC website and Student </w:t>
            </w:r>
            <w:r w:rsidRPr="009D2764">
              <w:rPr>
                <w:rFonts w:eastAsia="Times New Roman"/>
                <w:bCs w:val="0"/>
                <w:sz w:val="16"/>
                <w:szCs w:val="16"/>
              </w:rPr>
              <w:t>Services edStudio.</w:t>
            </w:r>
          </w:p>
          <w:p w:rsidR="009D2764" w:rsidRPr="009D2764" w:rsidRDefault="009D2764" w:rsidP="009D2764">
            <w:pPr>
              <w:pStyle w:val="Body-Text"/>
              <w:rPr>
                <w:rFonts w:eastAsia="Times New Roman"/>
                <w:bCs w:val="0"/>
                <w:sz w:val="16"/>
                <w:szCs w:val="16"/>
              </w:rPr>
            </w:pPr>
            <w:r>
              <w:rPr>
                <w:rFonts w:eastAsia="Times New Roman"/>
                <w:bCs w:val="0"/>
                <w:sz w:val="16"/>
                <w:szCs w:val="16"/>
              </w:rPr>
              <w:t>-</w:t>
            </w:r>
            <w:r w:rsidRPr="009D2764">
              <w:rPr>
                <w:rFonts w:eastAsia="Times New Roman"/>
                <w:bCs w:val="0"/>
                <w:sz w:val="16"/>
                <w:szCs w:val="16"/>
              </w:rPr>
              <w:t>PBL is the preferred framework for schools to drive their Inclusive Education practices</w:t>
            </w:r>
            <w:r>
              <w:rPr>
                <w:rFonts w:eastAsia="Times New Roman"/>
                <w:bCs w:val="0"/>
                <w:sz w:val="16"/>
                <w:szCs w:val="16"/>
              </w:rPr>
              <w:t xml:space="preserve"> (Every Student with Disability </w:t>
            </w:r>
            <w:r w:rsidRPr="009D2764">
              <w:rPr>
                <w:rFonts w:eastAsia="Times New Roman"/>
                <w:bCs w:val="0"/>
                <w:sz w:val="16"/>
                <w:szCs w:val="16"/>
              </w:rPr>
              <w:t>Succeeding 2017).</w:t>
            </w:r>
          </w:p>
          <w:p w:rsidR="009D2764" w:rsidRPr="009D2764" w:rsidRDefault="009D2764" w:rsidP="009D2764">
            <w:pPr>
              <w:pStyle w:val="Body-Text"/>
              <w:rPr>
                <w:rFonts w:eastAsia="Times New Roman"/>
                <w:bCs w:val="0"/>
                <w:sz w:val="16"/>
                <w:szCs w:val="16"/>
              </w:rPr>
            </w:pPr>
            <w:r>
              <w:rPr>
                <w:rFonts w:eastAsia="Times New Roman"/>
                <w:bCs w:val="0"/>
                <w:sz w:val="16"/>
                <w:szCs w:val="16"/>
              </w:rPr>
              <w:t>-</w:t>
            </w:r>
            <w:r w:rsidRPr="009D2764">
              <w:rPr>
                <w:rFonts w:eastAsia="Times New Roman"/>
                <w:bCs w:val="0"/>
                <w:sz w:val="16"/>
                <w:szCs w:val="16"/>
              </w:rPr>
              <w:t>Schools purchase into the DDSWR behaviour coach service at a level that maintains service integrity.</w:t>
            </w:r>
          </w:p>
          <w:p w:rsidR="009D2764" w:rsidRPr="009D2764" w:rsidRDefault="009D2764" w:rsidP="009D2764">
            <w:pPr>
              <w:pStyle w:val="Body-Text"/>
              <w:rPr>
                <w:rFonts w:eastAsia="Times New Roman"/>
                <w:bCs w:val="0"/>
                <w:sz w:val="16"/>
                <w:szCs w:val="16"/>
              </w:rPr>
            </w:pPr>
            <w:r>
              <w:rPr>
                <w:rFonts w:eastAsia="Times New Roman"/>
                <w:bCs w:val="0"/>
                <w:sz w:val="16"/>
                <w:szCs w:val="16"/>
              </w:rPr>
              <w:t>-</w:t>
            </w:r>
            <w:r w:rsidRPr="009D2764">
              <w:rPr>
                <w:rFonts w:eastAsia="Times New Roman"/>
                <w:bCs w:val="0"/>
                <w:sz w:val="16"/>
                <w:szCs w:val="16"/>
              </w:rPr>
              <w:t>DKC Hub is represented by principals from each Cluster (8 meetings per year).</w:t>
            </w:r>
          </w:p>
          <w:p w:rsidR="009D2764" w:rsidRPr="009D2764" w:rsidRDefault="009D2764" w:rsidP="009D2764">
            <w:pPr>
              <w:pStyle w:val="Body-Text"/>
              <w:rPr>
                <w:rFonts w:eastAsia="Times New Roman"/>
                <w:bCs w:val="0"/>
                <w:sz w:val="16"/>
                <w:szCs w:val="16"/>
              </w:rPr>
            </w:pPr>
            <w:r>
              <w:rPr>
                <w:rFonts w:eastAsia="Times New Roman"/>
                <w:bCs w:val="0"/>
                <w:sz w:val="16"/>
                <w:szCs w:val="16"/>
              </w:rPr>
              <w:t>-</w:t>
            </w:r>
            <w:r w:rsidRPr="009D2764">
              <w:rPr>
                <w:rFonts w:eastAsia="Times New Roman"/>
                <w:bCs w:val="0"/>
                <w:sz w:val="16"/>
                <w:szCs w:val="16"/>
              </w:rPr>
              <w:t xml:space="preserve">Maintain 80% of staff for a three </w:t>
            </w:r>
            <w:r w:rsidR="00C603AE">
              <w:rPr>
                <w:rFonts w:eastAsia="Times New Roman"/>
                <w:bCs w:val="0"/>
                <w:sz w:val="16"/>
                <w:szCs w:val="16"/>
              </w:rPr>
              <w:t>-</w:t>
            </w:r>
            <w:r w:rsidRPr="009D2764">
              <w:rPr>
                <w:rFonts w:eastAsia="Times New Roman"/>
                <w:bCs w:val="0"/>
                <w:sz w:val="16"/>
                <w:szCs w:val="16"/>
              </w:rPr>
              <w:t>year tenure.</w:t>
            </w:r>
          </w:p>
          <w:p w:rsidR="009D2764" w:rsidRPr="009D2764" w:rsidRDefault="009D2764" w:rsidP="009D2764">
            <w:pPr>
              <w:pStyle w:val="Body-Text"/>
              <w:rPr>
                <w:rFonts w:eastAsia="Times New Roman"/>
                <w:bCs w:val="0"/>
                <w:sz w:val="16"/>
                <w:szCs w:val="16"/>
              </w:rPr>
            </w:pPr>
            <w:r>
              <w:rPr>
                <w:rFonts w:eastAsia="Times New Roman"/>
                <w:bCs w:val="0"/>
                <w:sz w:val="16"/>
                <w:szCs w:val="16"/>
              </w:rPr>
              <w:t>-</w:t>
            </w:r>
            <w:r w:rsidRPr="009D2764">
              <w:rPr>
                <w:rFonts w:eastAsia="Times New Roman"/>
                <w:bCs w:val="0"/>
                <w:sz w:val="16"/>
                <w:szCs w:val="16"/>
              </w:rPr>
              <w:t>Recognise high performing coaches at a HOC/HOD level commensurate with other p</w:t>
            </w:r>
            <w:r>
              <w:rPr>
                <w:rFonts w:eastAsia="Times New Roman"/>
                <w:bCs w:val="0"/>
                <w:sz w:val="16"/>
                <w:szCs w:val="16"/>
              </w:rPr>
              <w:t xml:space="preserve">ortfolios, and enhanced through </w:t>
            </w:r>
            <w:r w:rsidRPr="009D2764">
              <w:rPr>
                <w:rFonts w:eastAsia="Times New Roman"/>
                <w:bCs w:val="0"/>
                <w:sz w:val="16"/>
                <w:szCs w:val="16"/>
              </w:rPr>
              <w:t>developing a career pathway.</w:t>
            </w:r>
          </w:p>
          <w:p w:rsidR="00DC4D73" w:rsidRDefault="009D2764" w:rsidP="009D2764">
            <w:pPr>
              <w:pStyle w:val="Body-Text"/>
              <w:rPr>
                <w:rFonts w:eastAsia="Times New Roman"/>
                <w:bCs w:val="0"/>
                <w:sz w:val="16"/>
                <w:szCs w:val="16"/>
              </w:rPr>
            </w:pPr>
            <w:r>
              <w:rPr>
                <w:rFonts w:eastAsia="Times New Roman"/>
                <w:bCs w:val="0"/>
                <w:sz w:val="16"/>
                <w:szCs w:val="16"/>
              </w:rPr>
              <w:t>-</w:t>
            </w:r>
            <w:r w:rsidRPr="009D2764">
              <w:rPr>
                <w:rFonts w:eastAsia="Times New Roman"/>
                <w:bCs w:val="0"/>
                <w:sz w:val="16"/>
                <w:szCs w:val="16"/>
              </w:rPr>
              <w:t>DDSWR Behaviour Team to provide a quality, responsive behaviour coach service to schools.</w:t>
            </w:r>
          </w:p>
        </w:tc>
        <w:tc>
          <w:tcPr>
            <w:tcW w:w="4253" w:type="dxa"/>
          </w:tcPr>
          <w:p w:rsidR="00DC4D73" w:rsidRPr="00C603AE" w:rsidRDefault="009D2764" w:rsidP="00C603AE">
            <w:pPr>
              <w:pStyle w:val="ListParagraph"/>
              <w:numPr>
                <w:ilvl w:val="0"/>
                <w:numId w:val="25"/>
              </w:numPr>
              <w:spacing w:after="0"/>
              <w:rPr>
                <w:rFonts w:eastAsia="Times New Roman" w:cs="Times New Roman"/>
                <w:bCs w:val="0"/>
                <w:spacing w:val="10"/>
                <w:sz w:val="16"/>
                <w:szCs w:val="16"/>
                <w:lang w:val="en-US"/>
              </w:rPr>
            </w:pPr>
            <w:r w:rsidRPr="00C603AE">
              <w:rPr>
                <w:rFonts w:eastAsia="Times New Roman" w:cs="Times New Roman"/>
                <w:bCs w:val="0"/>
                <w:spacing w:val="10"/>
                <w:sz w:val="16"/>
                <w:szCs w:val="16"/>
                <w:lang w:val="en-US"/>
              </w:rPr>
              <w:t>Link school leadership teams with the new Principal Guidelines for reducing and eliminating restrictive practices, student discipline (suspension and exclusion) and cancellation of enrolment.</w:t>
            </w:r>
          </w:p>
        </w:tc>
        <w:tc>
          <w:tcPr>
            <w:tcW w:w="1978" w:type="dxa"/>
          </w:tcPr>
          <w:p w:rsidR="00DC4D73" w:rsidRPr="000F2A19" w:rsidRDefault="009D2764" w:rsidP="00DC4D73">
            <w:pPr>
              <w:spacing w:after="0"/>
              <w:rPr>
                <w:rFonts w:eastAsia="Times New Roman"/>
                <w:bCs w:val="0"/>
                <w:spacing w:val="10"/>
                <w:sz w:val="16"/>
                <w:szCs w:val="16"/>
                <w:lang w:val="en-US"/>
              </w:rPr>
            </w:pPr>
            <w:r>
              <w:rPr>
                <w:rFonts w:eastAsia="Times New Roman"/>
                <w:bCs w:val="0"/>
                <w:spacing w:val="10"/>
                <w:sz w:val="16"/>
                <w:szCs w:val="16"/>
                <w:lang w:val="en-US"/>
              </w:rPr>
              <w:t>Ongoing</w:t>
            </w:r>
          </w:p>
        </w:tc>
      </w:tr>
    </w:tbl>
    <w:p w:rsidR="00401F60" w:rsidRPr="00401F60" w:rsidRDefault="00401F60" w:rsidP="0082795C">
      <w:pPr>
        <w:pStyle w:val="Body-Text"/>
        <w:rPr>
          <w:b/>
          <w:u w:val="single"/>
        </w:rPr>
      </w:pPr>
    </w:p>
    <w:p w:rsidR="000C6EB2" w:rsidRDefault="000C6EB2" w:rsidP="0082795C">
      <w:pPr>
        <w:pStyle w:val="Body-Text"/>
      </w:pPr>
    </w:p>
    <w:p w:rsidR="000C6EB2" w:rsidRPr="00C36678" w:rsidRDefault="000C6EB2" w:rsidP="0082795C">
      <w:pPr>
        <w:pStyle w:val="Body-Text"/>
      </w:pPr>
    </w:p>
    <w:tbl>
      <w:tblPr>
        <w:tblW w:w="4904" w:type="pct"/>
        <w:tblInd w:w="94" w:type="dxa"/>
        <w:shd w:val="clear" w:color="auto" w:fill="2B5CAA"/>
        <w:tblLayout w:type="fixed"/>
        <w:tblLook w:val="0000" w:firstRow="0" w:lastRow="0" w:firstColumn="0" w:lastColumn="0" w:noHBand="0" w:noVBand="0"/>
      </w:tblPr>
      <w:tblGrid>
        <w:gridCol w:w="9453"/>
      </w:tblGrid>
      <w:tr w:rsidR="000126B0" w:rsidRPr="00C36678" w:rsidTr="00AD614C">
        <w:tc>
          <w:tcPr>
            <w:tcW w:w="5000" w:type="pct"/>
            <w:shd w:val="clear" w:color="auto" w:fill="003D69"/>
          </w:tcPr>
          <w:p w:rsidR="000126B0" w:rsidRPr="00C36678" w:rsidRDefault="000126B0" w:rsidP="0006486B">
            <w:pPr>
              <w:pStyle w:val="Heading1-AR"/>
            </w:pPr>
            <w:r w:rsidRPr="00C36678">
              <w:t>Our school at a glance</w:t>
            </w:r>
          </w:p>
        </w:tc>
      </w:tr>
      <w:tr w:rsidR="000126B0" w:rsidRPr="00C36678" w:rsidTr="00AD614C">
        <w:tc>
          <w:tcPr>
            <w:tcW w:w="5000" w:type="pct"/>
            <w:shd w:val="clear" w:color="auto" w:fill="DDDDDD"/>
          </w:tcPr>
          <w:p w:rsidR="000126B0" w:rsidRPr="00C36678" w:rsidRDefault="000126B0" w:rsidP="0063618A">
            <w:pPr>
              <w:pStyle w:val="Heading12-AR"/>
            </w:pPr>
          </w:p>
        </w:tc>
      </w:tr>
    </w:tbl>
    <w:p w:rsidR="000126B0" w:rsidRPr="00C36678" w:rsidRDefault="000126B0" w:rsidP="00354AA9">
      <w:pPr>
        <w:pStyle w:val="Body-Text"/>
      </w:pPr>
    </w:p>
    <w:p w:rsidR="000126B0" w:rsidRPr="00C36678" w:rsidRDefault="000126B0" w:rsidP="00AE6C76">
      <w:pPr>
        <w:pStyle w:val="Body-Text-Smallspace"/>
      </w:pPr>
    </w:p>
    <w:p w:rsidR="000126B0" w:rsidRPr="00C36678" w:rsidRDefault="000126B0" w:rsidP="003760B6">
      <w:pPr>
        <w:pStyle w:val="Heading2-AR"/>
      </w:pPr>
      <w:r w:rsidRPr="00C36678">
        <w:t>School profile</w:t>
      </w:r>
    </w:p>
    <w:tbl>
      <w:tblPr>
        <w:tblW w:w="4949" w:type="pct"/>
        <w:jc w:val="center"/>
        <w:tblLayout w:type="fixed"/>
        <w:tblCellMar>
          <w:left w:w="57" w:type="dxa"/>
          <w:right w:w="57" w:type="dxa"/>
        </w:tblCellMar>
        <w:tblLook w:val="01E0" w:firstRow="1" w:lastRow="1" w:firstColumn="1" w:lastColumn="1" w:noHBand="0" w:noVBand="0"/>
      </w:tblPr>
      <w:tblGrid>
        <w:gridCol w:w="3481"/>
        <w:gridCol w:w="845"/>
        <w:gridCol w:w="845"/>
        <w:gridCol w:w="845"/>
        <w:gridCol w:w="3524"/>
      </w:tblGrid>
      <w:tr w:rsidR="000126B0" w:rsidRPr="00C36678" w:rsidTr="00AD614C">
        <w:trPr>
          <w:trHeight w:val="298"/>
          <w:jc w:val="center"/>
        </w:trPr>
        <w:tc>
          <w:tcPr>
            <w:tcW w:w="1824" w:type="pct"/>
            <w:shd w:val="clear" w:color="auto" w:fill="auto"/>
          </w:tcPr>
          <w:p w:rsidR="000126B0" w:rsidRPr="00C36678" w:rsidRDefault="000126B0" w:rsidP="00E104FD">
            <w:pPr>
              <w:pStyle w:val="Body-Table-HeadingBig"/>
            </w:pPr>
            <w:r w:rsidRPr="00C36678">
              <w:t>Coeducational or single sex</w:t>
            </w:r>
          </w:p>
        </w:tc>
        <w:tc>
          <w:tcPr>
            <w:tcW w:w="3176" w:type="pct"/>
            <w:gridSpan w:val="4"/>
          </w:tcPr>
          <w:p w:rsidR="000126B0" w:rsidRPr="00C36678" w:rsidRDefault="000126B0" w:rsidP="00E104FD">
            <w:pPr>
              <w:pStyle w:val="Body-Table-Text2"/>
              <w:rPr>
                <w:szCs w:val="16"/>
              </w:rPr>
            </w:pPr>
            <w:r w:rsidRPr="00C36678">
              <w:t>Coeducational</w:t>
            </w:r>
          </w:p>
        </w:tc>
      </w:tr>
      <w:tr w:rsidR="000126B0" w:rsidRPr="00C36678" w:rsidTr="00AD614C">
        <w:trPr>
          <w:trHeight w:val="302"/>
          <w:jc w:val="center"/>
        </w:trPr>
        <w:tc>
          <w:tcPr>
            <w:tcW w:w="1824" w:type="pct"/>
            <w:shd w:val="clear" w:color="auto" w:fill="auto"/>
          </w:tcPr>
          <w:p w:rsidR="000126B0" w:rsidRPr="00C36678" w:rsidRDefault="000126B0" w:rsidP="00E104FD">
            <w:pPr>
              <w:pStyle w:val="Body-Table-HeadingBig"/>
            </w:pPr>
            <w:r w:rsidRPr="00C36678">
              <w:t>Independent public school</w:t>
            </w:r>
          </w:p>
        </w:tc>
        <w:tc>
          <w:tcPr>
            <w:tcW w:w="3176" w:type="pct"/>
            <w:gridSpan w:val="4"/>
          </w:tcPr>
          <w:p w:rsidR="000126B0" w:rsidRPr="00ED3657" w:rsidRDefault="000126B0" w:rsidP="00ED3657">
            <w:pPr>
              <w:pStyle w:val="Body-Table-Text2"/>
            </w:pPr>
            <w:r>
              <w:rPr>
                <w:noProof/>
              </w:rPr>
              <w:t>No</w:t>
            </w:r>
          </w:p>
        </w:tc>
      </w:tr>
      <w:tr w:rsidR="000126B0" w:rsidRPr="00C36678" w:rsidTr="00AD614C">
        <w:trPr>
          <w:trHeight w:val="302"/>
          <w:jc w:val="center"/>
        </w:trPr>
        <w:tc>
          <w:tcPr>
            <w:tcW w:w="1824" w:type="pct"/>
            <w:shd w:val="clear" w:color="auto" w:fill="auto"/>
          </w:tcPr>
          <w:p w:rsidR="000126B0" w:rsidRPr="00C36678" w:rsidRDefault="000126B0" w:rsidP="00E104FD">
            <w:pPr>
              <w:pStyle w:val="Body-Table-HeadingBig"/>
            </w:pPr>
            <w:r w:rsidRPr="00C36678">
              <w:t>Year levels offered in 2018</w:t>
            </w:r>
          </w:p>
        </w:tc>
        <w:tc>
          <w:tcPr>
            <w:tcW w:w="3176" w:type="pct"/>
            <w:gridSpan w:val="4"/>
          </w:tcPr>
          <w:p w:rsidR="000126B0" w:rsidRPr="00ED3657" w:rsidRDefault="000126B0" w:rsidP="00ED3657">
            <w:pPr>
              <w:pStyle w:val="Body-Table-Text2"/>
            </w:pPr>
            <w:r>
              <w:rPr>
                <w:noProof/>
              </w:rPr>
              <w:t>Year 7 - Year 12</w:t>
            </w:r>
          </w:p>
        </w:tc>
      </w:tr>
      <w:tr w:rsidR="000126B0" w:rsidRPr="00C36678" w:rsidTr="00AD614C">
        <w:trPr>
          <w:trHeight w:val="64"/>
          <w:jc w:val="center"/>
        </w:trPr>
        <w:tc>
          <w:tcPr>
            <w:tcW w:w="1824" w:type="pct"/>
            <w:shd w:val="clear" w:color="auto" w:fill="auto"/>
          </w:tcPr>
          <w:p w:rsidR="000126B0" w:rsidRPr="00C36678" w:rsidRDefault="000126B0" w:rsidP="0006486B">
            <w:pPr>
              <w:pStyle w:val="Body-Table-HeadingBig"/>
              <w:keepNext/>
            </w:pPr>
            <w:r w:rsidRPr="00C36678">
              <w:t>Student enrolments</w:t>
            </w:r>
          </w:p>
        </w:tc>
        <w:tc>
          <w:tcPr>
            <w:tcW w:w="3176" w:type="pct"/>
            <w:gridSpan w:val="4"/>
            <w:shd w:val="clear" w:color="auto" w:fill="auto"/>
          </w:tcPr>
          <w:p w:rsidR="000126B0" w:rsidRPr="00C36678" w:rsidRDefault="000126B0" w:rsidP="00CD1FF9">
            <w:pPr>
              <w:pStyle w:val="Body-Table-Text2"/>
            </w:pPr>
          </w:p>
        </w:tc>
      </w:tr>
      <w:tr w:rsidR="000126B0" w:rsidRPr="00C36678" w:rsidTr="00AD614C">
        <w:trPr>
          <w:trHeight w:val="64"/>
          <w:jc w:val="center"/>
        </w:trPr>
        <w:tc>
          <w:tcPr>
            <w:tcW w:w="1824" w:type="pct"/>
            <w:shd w:val="clear" w:color="auto" w:fill="auto"/>
          </w:tcPr>
          <w:p w:rsidR="000126B0" w:rsidRPr="00C36678" w:rsidRDefault="000126B0" w:rsidP="00CD1FF9">
            <w:pPr>
              <w:pStyle w:val="Body-Text-Smallspace"/>
            </w:pPr>
          </w:p>
          <w:p w:rsidR="000126B0" w:rsidRPr="00C36678" w:rsidRDefault="000126B0" w:rsidP="00CD1FF9">
            <w:pPr>
              <w:pStyle w:val="TableCaption-AR"/>
            </w:pPr>
            <w:r w:rsidRPr="00C36678">
              <w:t>Table 1: Student enrolments at this school</w:t>
            </w:r>
          </w:p>
        </w:tc>
        <w:tc>
          <w:tcPr>
            <w:tcW w:w="3176" w:type="pct"/>
            <w:gridSpan w:val="4"/>
            <w:shd w:val="clear" w:color="auto" w:fill="auto"/>
          </w:tcPr>
          <w:p w:rsidR="000126B0" w:rsidRPr="00C36678" w:rsidRDefault="000126B0" w:rsidP="00CD1FF9">
            <w:pPr>
              <w:pStyle w:val="Body-Table-Text2"/>
            </w:pPr>
          </w:p>
        </w:tc>
      </w:tr>
      <w:tr w:rsidR="000126B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
              <w:keepNext/>
            </w:pPr>
            <w:r w:rsidRPr="00C36678">
              <w:t>Enrolment category</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pPr>
            <w:r w:rsidRPr="00C36678">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pPr>
            <w:r w:rsidRPr="00C36678">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pPr>
            <w:r w:rsidRPr="00C36678">
              <w:t>2018</w:t>
            </w:r>
          </w:p>
        </w:tc>
        <w:tc>
          <w:tcPr>
            <w:tcW w:w="1847" w:type="pct"/>
            <w:vMerge w:val="restart"/>
            <w:tcBorders>
              <w:left w:val="single" w:sz="4" w:space="0" w:color="808080"/>
            </w:tcBorders>
            <w:shd w:val="clear" w:color="auto" w:fill="auto"/>
          </w:tcPr>
          <w:p w:rsidR="000126B0" w:rsidRPr="00C36678" w:rsidRDefault="000126B0" w:rsidP="004D4B7E">
            <w:pPr>
              <w:pStyle w:val="Body-Text-Smallspace"/>
              <w:ind w:left="117"/>
            </w:pPr>
          </w:p>
          <w:p w:rsidR="000126B0" w:rsidRPr="00C36678" w:rsidRDefault="000126B0" w:rsidP="004D4B7E">
            <w:pPr>
              <w:pStyle w:val="Body-Table-Note"/>
              <w:ind w:left="117"/>
              <w:rPr>
                <w:u w:color="FF0000"/>
              </w:rPr>
            </w:pPr>
            <w:r w:rsidRPr="00C36678">
              <w:rPr>
                <w:u w:color="FF0000"/>
              </w:rPr>
              <w:t xml:space="preserve">Notes: </w:t>
            </w:r>
          </w:p>
          <w:p w:rsidR="000126B0" w:rsidRPr="00C36678" w:rsidRDefault="000126B0" w:rsidP="00EB09C7">
            <w:pPr>
              <w:pStyle w:val="Body-Table-Note"/>
              <w:tabs>
                <w:tab w:val="left" w:pos="300"/>
              </w:tabs>
              <w:ind w:left="314" w:hanging="197"/>
              <w:rPr>
                <w:u w:color="FF0000"/>
              </w:rPr>
            </w:pPr>
            <w:r w:rsidRPr="00C36678">
              <w:rPr>
                <w:u w:color="FF0000"/>
              </w:rPr>
              <w:t>1.</w:t>
            </w:r>
            <w:r w:rsidRPr="00C36678">
              <w:rPr>
                <w:u w:color="FF0000"/>
              </w:rPr>
              <w:tab/>
              <w:t>Student counts are based on the Census (August) enrolment collection.</w:t>
            </w:r>
          </w:p>
          <w:p w:rsidR="000126B0" w:rsidRPr="00C36678" w:rsidRDefault="000126B0" w:rsidP="00EB09C7">
            <w:pPr>
              <w:pStyle w:val="Body-Table-Note"/>
              <w:tabs>
                <w:tab w:val="left" w:pos="300"/>
              </w:tabs>
              <w:ind w:left="314" w:hanging="197"/>
              <w:rPr>
                <w:u w:color="FF0000"/>
              </w:rPr>
            </w:pPr>
            <w:r w:rsidRPr="00C36678">
              <w:rPr>
                <w:u w:color="FF0000"/>
              </w:rPr>
              <w:t>2.</w:t>
            </w:r>
            <w:r w:rsidRPr="00C36678">
              <w:rPr>
                <w:u w:color="FF0000"/>
              </w:rPr>
              <w:tab/>
              <w:t>Indigenous refers to Aboriginal and Torres Strait Islander people of Australia.</w:t>
            </w:r>
          </w:p>
          <w:p w:rsidR="000126B0" w:rsidRPr="00C36678" w:rsidRDefault="000126B0" w:rsidP="0025442F">
            <w:pPr>
              <w:pStyle w:val="Body-Table-Note"/>
              <w:tabs>
                <w:tab w:val="left" w:pos="300"/>
              </w:tabs>
              <w:ind w:left="314" w:hanging="197"/>
            </w:pPr>
            <w:r w:rsidRPr="00C36678">
              <w:rPr>
                <w:rFonts w:eastAsia="Meiryo"/>
              </w:rPr>
              <w:t>3.</w:t>
            </w:r>
            <w:r w:rsidRPr="00C36678">
              <w:rPr>
                <w:rFonts w:eastAsia="Meiryo"/>
              </w:rPr>
              <w:tab/>
            </w:r>
            <w:hyperlink r:id="rId14" w:history="1">
              <w:r w:rsidRPr="004D2AE0">
                <w:rPr>
                  <w:rStyle w:val="Hyperlink"/>
                  <w:sz w:val="16"/>
                </w:rPr>
                <w:t>pre-Prep</w:t>
              </w:r>
            </w:hyperlink>
            <w:r w:rsidRPr="00C36678">
              <w:t xml:space="preserve"> is a kindergarten program for Aboriginal and Torres Strait Islander children, living in 35 Aboriginal and Torres Strait Islander communities, in the year before school.</w:t>
            </w:r>
          </w:p>
        </w:tc>
      </w:tr>
      <w:tr w:rsidR="000126B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pPr>
            <w:r w:rsidRPr="00C36678">
              <w:t>Total</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rFonts w:eastAsia="Times New Roman"/>
                <w:noProof/>
                <w:color w:val="000000"/>
                <w:sz w:val="16"/>
                <w:szCs w:val="16"/>
              </w:rPr>
              <w:t>123</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116</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131</w:t>
            </w:r>
          </w:p>
        </w:tc>
        <w:tc>
          <w:tcPr>
            <w:tcW w:w="1847" w:type="pct"/>
            <w:vMerge/>
            <w:tcBorders>
              <w:left w:val="single" w:sz="4" w:space="0" w:color="808080"/>
            </w:tcBorders>
            <w:shd w:val="clear" w:color="auto" w:fill="auto"/>
          </w:tcPr>
          <w:p w:rsidR="000126B0" w:rsidRPr="00C36678" w:rsidRDefault="000126B0" w:rsidP="00CD1FF9">
            <w:pPr>
              <w:pStyle w:val="Body-Table-TextCentred"/>
            </w:pPr>
          </w:p>
        </w:tc>
      </w:tr>
      <w:tr w:rsidR="000126B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pPr>
            <w:r w:rsidRPr="00C36678">
              <w:t>Girls</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43</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41</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333A4F">
            <w:pPr>
              <w:pStyle w:val="Body-Table-TextCentred"/>
              <w:keepNext/>
            </w:pPr>
            <w:r w:rsidRPr="00211E08">
              <w:rPr>
                <w:noProof/>
                <w:sz w:val="16"/>
                <w:szCs w:val="16"/>
              </w:rPr>
              <w:t>48</w:t>
            </w:r>
          </w:p>
        </w:tc>
        <w:tc>
          <w:tcPr>
            <w:tcW w:w="1847" w:type="pct"/>
            <w:vMerge/>
            <w:tcBorders>
              <w:left w:val="single" w:sz="4" w:space="0" w:color="808080"/>
            </w:tcBorders>
            <w:shd w:val="clear" w:color="auto" w:fill="auto"/>
          </w:tcPr>
          <w:p w:rsidR="000126B0" w:rsidRPr="00C36678" w:rsidRDefault="000126B0" w:rsidP="00CD1FF9">
            <w:pPr>
              <w:pStyle w:val="Body-Table-TextCentred"/>
            </w:pPr>
          </w:p>
        </w:tc>
      </w:tr>
      <w:tr w:rsidR="000126B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pPr>
            <w:r w:rsidRPr="00C36678">
              <w:t>Boys</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80</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75</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333A4F">
            <w:pPr>
              <w:pStyle w:val="Body-Table-TextCentred"/>
              <w:keepNext/>
            </w:pPr>
            <w:r w:rsidRPr="00211E08">
              <w:rPr>
                <w:noProof/>
                <w:sz w:val="16"/>
                <w:szCs w:val="16"/>
              </w:rPr>
              <w:t>83</w:t>
            </w:r>
          </w:p>
        </w:tc>
        <w:tc>
          <w:tcPr>
            <w:tcW w:w="1847" w:type="pct"/>
            <w:vMerge/>
            <w:tcBorders>
              <w:left w:val="single" w:sz="4" w:space="0" w:color="808080"/>
            </w:tcBorders>
            <w:shd w:val="clear" w:color="auto" w:fill="auto"/>
          </w:tcPr>
          <w:p w:rsidR="000126B0" w:rsidRPr="00C36678" w:rsidRDefault="000126B0" w:rsidP="00CD1FF9">
            <w:pPr>
              <w:pStyle w:val="Body-Table-TextCentred"/>
            </w:pPr>
          </w:p>
        </w:tc>
      </w:tr>
      <w:tr w:rsidR="000126B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pPr>
            <w:r w:rsidRPr="00C36678">
              <w:t>Indigenous</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23</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26</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333A4F">
            <w:pPr>
              <w:pStyle w:val="Body-Table-TextCentred"/>
              <w:keepNext/>
            </w:pPr>
            <w:r w:rsidRPr="00211E08">
              <w:rPr>
                <w:noProof/>
                <w:sz w:val="16"/>
                <w:szCs w:val="16"/>
              </w:rPr>
              <w:t>29</w:t>
            </w:r>
          </w:p>
        </w:tc>
        <w:tc>
          <w:tcPr>
            <w:tcW w:w="1847" w:type="pct"/>
            <w:vMerge/>
            <w:tcBorders>
              <w:left w:val="single" w:sz="4" w:space="0" w:color="808080"/>
            </w:tcBorders>
            <w:shd w:val="clear" w:color="auto" w:fill="auto"/>
          </w:tcPr>
          <w:p w:rsidR="000126B0" w:rsidRPr="00C36678" w:rsidRDefault="000126B0" w:rsidP="00CD1FF9">
            <w:pPr>
              <w:pStyle w:val="Body-Table-TextCentred"/>
            </w:pPr>
          </w:p>
        </w:tc>
      </w:tr>
      <w:tr w:rsidR="000126B0" w:rsidRPr="00C36678" w:rsidTr="00AD614C">
        <w:trPr>
          <w:trHeight w:val="430"/>
          <w:jc w:val="center"/>
        </w:trPr>
        <w:tc>
          <w:tcPr>
            <w:tcW w:w="1824"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pPr>
            <w:r w:rsidRPr="00C36678">
              <w:t>Enrolment continuity (Feb. – Nov.)</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rFonts w:eastAsia="Times New Roman"/>
                <w:noProof/>
                <w:color w:val="000000"/>
                <w:sz w:val="16"/>
                <w:szCs w:val="16"/>
              </w:rPr>
              <w:t>98%</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162A9B">
            <w:pPr>
              <w:pStyle w:val="Body-Table-TextCentred"/>
              <w:keepNext/>
            </w:pPr>
            <w:r w:rsidRPr="00211E08">
              <w:rPr>
                <w:noProof/>
                <w:sz w:val="16"/>
                <w:szCs w:val="16"/>
              </w:rPr>
              <w:t>92%</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0126B0" w:rsidP="00333A4F">
            <w:pPr>
              <w:pStyle w:val="Body-Table-TextCentred"/>
              <w:keepNext/>
            </w:pPr>
            <w:r w:rsidRPr="00211E08">
              <w:rPr>
                <w:noProof/>
                <w:sz w:val="16"/>
                <w:szCs w:val="16"/>
              </w:rPr>
              <w:t>95%</w:t>
            </w:r>
          </w:p>
        </w:tc>
        <w:tc>
          <w:tcPr>
            <w:tcW w:w="1847" w:type="pct"/>
            <w:vMerge/>
            <w:tcBorders>
              <w:left w:val="single" w:sz="4" w:space="0" w:color="808080"/>
            </w:tcBorders>
            <w:shd w:val="clear" w:color="auto" w:fill="auto"/>
          </w:tcPr>
          <w:p w:rsidR="000126B0" w:rsidRPr="00C36678" w:rsidRDefault="000126B0" w:rsidP="00CD1FF9">
            <w:pPr>
              <w:pStyle w:val="Body-Table-TextCentred"/>
            </w:pPr>
          </w:p>
        </w:tc>
      </w:tr>
    </w:tbl>
    <w:p w:rsidR="000126B0" w:rsidRDefault="000126B0" w:rsidP="00A954D3">
      <w:pPr>
        <w:pStyle w:val="Body-Text"/>
      </w:pPr>
    </w:p>
    <w:p w:rsidR="000126B0" w:rsidRDefault="004653A0" w:rsidP="004B0F3E">
      <w:pPr>
        <w:spacing w:after="0"/>
        <w:rPr>
          <w:szCs w:val="19"/>
        </w:rPr>
      </w:pPr>
      <w:r>
        <w:rPr>
          <w:szCs w:val="19"/>
        </w:rPr>
        <w:t>Clifford Park Special School is a high school only, and</w:t>
      </w:r>
      <w:r w:rsidR="000126B0" w:rsidRPr="00A24331">
        <w:rPr>
          <w:szCs w:val="19"/>
        </w:rPr>
        <w:t xml:space="preserve"> there</w:t>
      </w:r>
      <w:r>
        <w:rPr>
          <w:szCs w:val="19"/>
        </w:rPr>
        <w:t>fore there are</w:t>
      </w:r>
      <w:r w:rsidR="000126B0" w:rsidRPr="00A24331">
        <w:rPr>
          <w:szCs w:val="19"/>
        </w:rPr>
        <w:t xml:space="preserve"> </w:t>
      </w:r>
      <w:r w:rsidR="000126B0" w:rsidRPr="00A24331">
        <w:rPr>
          <w:noProof/>
          <w:szCs w:val="19"/>
        </w:rPr>
        <w:t>no</w:t>
      </w:r>
      <w:r w:rsidR="000126B0" w:rsidRPr="00A24331">
        <w:rPr>
          <w:szCs w:val="19"/>
        </w:rPr>
        <w:t xml:space="preserve"> students enrolled in a pre-Prep program.</w:t>
      </w:r>
    </w:p>
    <w:p w:rsidR="004653A0" w:rsidRPr="004653A0" w:rsidRDefault="004653A0" w:rsidP="004653A0">
      <w:pPr>
        <w:pStyle w:val="Body-Text"/>
        <w:rPr>
          <w:lang w:eastAsia="en-US"/>
        </w:rPr>
      </w:pPr>
    </w:p>
    <w:p w:rsidR="000126B0" w:rsidRPr="00C36678" w:rsidRDefault="000126B0" w:rsidP="00AE6C76">
      <w:pPr>
        <w:pStyle w:val="Body-Text-Smallspace"/>
      </w:pPr>
    </w:p>
    <w:p w:rsidR="000126B0" w:rsidRPr="00C36678" w:rsidRDefault="000126B0" w:rsidP="003760B6">
      <w:pPr>
        <w:pStyle w:val="Heading2-AR"/>
        <w:rPr>
          <w:color w:val="000000"/>
        </w:rPr>
      </w:pPr>
      <w:r w:rsidRPr="00C36678">
        <w:t>Characteristics of the student body</w:t>
      </w:r>
    </w:p>
    <w:p w:rsidR="000126B0" w:rsidRPr="00C36678" w:rsidRDefault="000126B0" w:rsidP="00AE6C76">
      <w:pPr>
        <w:pStyle w:val="Body-Text-Smallspace"/>
      </w:pPr>
    </w:p>
    <w:p w:rsidR="000126B0" w:rsidRPr="00C36678" w:rsidRDefault="000126B0" w:rsidP="003760B6">
      <w:pPr>
        <w:pStyle w:val="Heading3-AR"/>
      </w:pPr>
      <w:r w:rsidRPr="00C36678">
        <w:t>Overview</w:t>
      </w:r>
    </w:p>
    <w:p w:rsidR="00D5402E" w:rsidRDefault="00D5402E" w:rsidP="00D5402E">
      <w:pPr>
        <w:pStyle w:val="Body-Text"/>
      </w:pPr>
      <w:r>
        <w:t>Clifford Park Special School is a co-educational state senior special school. It has two campuses, one at 19 Rob Street Toowoomba and the second at 58 Ramsay Street Toowoomba. The Rob Street Campus provides programs for young people with disabilities between the ages of 12 and 18. Our student population is diverse with all students having an Intellectual Disability, which can vary across our student population from mild Intellectual disability to profound Intellectual Disability. Approximately 40% of the student population have a second or multiple disability such as Autistic Spectrum Disorder, Physical Impairment, Hearing Impairment and Visual Impairment. Some students also have a mental health diagnosis and behavioural challenges. Students at the school require high levels of support with their educational programs. In 2018, approximately 15% of our students were in the Care o</w:t>
      </w:r>
      <w:r w:rsidR="00607882">
        <w:t>f the State and approximately 22</w:t>
      </w:r>
      <w:r>
        <w:t xml:space="preserve">% </w:t>
      </w:r>
      <w:r w:rsidR="00607882">
        <w:t>identified with being</w:t>
      </w:r>
      <w:r>
        <w:t xml:space="preserve"> Indigenous.  </w:t>
      </w:r>
      <w:r w:rsidR="00C603AE">
        <w:t xml:space="preserve">Four students were enrolled during 2018 on a Refugee status.  </w:t>
      </w:r>
      <w:r>
        <w:t xml:space="preserve">Some of our students require Complex Case management.  The school works closely with the National Disability Insurance Scheme, </w:t>
      </w:r>
      <w:r w:rsidR="00916C57">
        <w:t>Child Safety Youth and Women</w:t>
      </w:r>
      <w:r>
        <w:t>, Child Youth Mental Health Services and the Evolve Team to cater for their complex educational and personal requirements.</w:t>
      </w:r>
    </w:p>
    <w:p w:rsidR="00D5402E" w:rsidRDefault="00D5402E" w:rsidP="00D5402E">
      <w:pPr>
        <w:pStyle w:val="Body-Text"/>
      </w:pPr>
      <w:r>
        <w:t>The Denise Kable Campus houses the Denise Kable Special Education Program (SEP), the school-wide Behaviour Support Team (BST), TALES program, and the Positive Learning Centre (PLC). Staff at the Denise Kable Campus work as one integrated team with the Head of Special Education Services leading the team. There are no direct student enrolments at the Denise Kable Campus. Students from across the Toowoomba geographical area have the opportunity to access programs designed to increase engagement, promote students' social and emotional development, enhance life skills and improve literacy and numeracy. The Campus provides an alternative learning site for a range of students.</w:t>
      </w:r>
    </w:p>
    <w:p w:rsidR="000126B0" w:rsidRPr="00C36678" w:rsidRDefault="00D5402E" w:rsidP="00D5402E">
      <w:pPr>
        <w:pStyle w:val="Body-Text"/>
      </w:pPr>
      <w:r>
        <w:t>The Behaviour Support Team work directly with schools to build capacity to create safe and supportive environments within those schools. The Positive Learning Centre (PLC), based on campus at Denise Kable, is</w:t>
      </w:r>
      <w:r w:rsidR="00AF6B26">
        <w:t xml:space="preserve"> </w:t>
      </w:r>
      <w:r>
        <w:t xml:space="preserve">accessed on a referral basis, with the target population being those students who have been excluded, have a history of suspensions or have disengaged from the mainstream school context.  The TALES program targets </w:t>
      </w:r>
      <w:r>
        <w:lastRenderedPageBreak/>
        <w:t>students aged 10 -15yrs who are involved with Youth Justice and are currently under Orders. Elective Programs within Denise Kable Campus operate over the course of a 10-week term. Students attend for one day per week and engage in programs aligned to the Australian Curriculum.</w:t>
      </w:r>
    </w:p>
    <w:p w:rsidR="000126B0" w:rsidRPr="00C36678" w:rsidRDefault="000126B0" w:rsidP="00AE6C76">
      <w:pPr>
        <w:pStyle w:val="Body-Text-Smallspace"/>
      </w:pPr>
    </w:p>
    <w:p w:rsidR="000126B0" w:rsidRPr="00C36678" w:rsidRDefault="000126B0" w:rsidP="003760B6">
      <w:pPr>
        <w:pStyle w:val="Heading3-AR"/>
      </w:pPr>
      <w:r w:rsidRPr="00C36678">
        <w:t>Average class sizes</w:t>
      </w:r>
    </w:p>
    <w:p w:rsidR="000126B0" w:rsidRPr="00C36678" w:rsidRDefault="000126B0" w:rsidP="00162A9B">
      <w:pPr>
        <w:pStyle w:val="Body-Text-Smallspace"/>
      </w:pPr>
    </w:p>
    <w:p w:rsidR="000126B0" w:rsidRPr="00C36678" w:rsidRDefault="000126B0" w:rsidP="004D4B7E">
      <w:pPr>
        <w:pStyle w:val="TableCaption-AR"/>
      </w:pPr>
      <w:r w:rsidRPr="00C36678">
        <w:t>Table 2: Average class size information for each phase of schooling</w:t>
      </w:r>
    </w:p>
    <w:tbl>
      <w:tblPr>
        <w:tblW w:w="9645" w:type="dxa"/>
        <w:tblInd w:w="57" w:type="dxa"/>
        <w:tblBorders>
          <w:bottom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20"/>
        <w:gridCol w:w="852"/>
        <w:gridCol w:w="855"/>
        <w:gridCol w:w="855"/>
        <w:gridCol w:w="4763"/>
      </w:tblGrid>
      <w:tr w:rsidR="000126B0"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
              <w:keepNext/>
              <w:rPr>
                <w:u w:color="FF0000"/>
                <w:lang w:eastAsia="en-US"/>
              </w:rPr>
            </w:pPr>
            <w:r w:rsidRPr="00C36678">
              <w:rPr>
                <w:u w:color="FF0000"/>
                <w:lang w:eastAsia="en-US"/>
              </w:rPr>
              <w:t>Phase of schooling</w:t>
            </w:r>
          </w:p>
        </w:tc>
        <w:tc>
          <w:tcPr>
            <w:tcW w:w="442"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2016</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2017</w:t>
            </w:r>
          </w:p>
        </w:tc>
        <w:tc>
          <w:tcPr>
            <w:tcW w:w="443" w:type="pct"/>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2018</w:t>
            </w:r>
          </w:p>
        </w:tc>
        <w:tc>
          <w:tcPr>
            <w:tcW w:w="2469" w:type="pct"/>
            <w:vMerge w:val="restart"/>
            <w:tcBorders>
              <w:top w:val="nil"/>
              <w:left w:val="single" w:sz="4" w:space="0" w:color="808080"/>
              <w:right w:val="nil"/>
            </w:tcBorders>
            <w:shd w:val="clear" w:color="auto" w:fill="auto"/>
          </w:tcPr>
          <w:p w:rsidR="000126B0" w:rsidRPr="00C36678" w:rsidRDefault="000126B0" w:rsidP="0071342E">
            <w:pPr>
              <w:pStyle w:val="Body-Text-Smallspace"/>
            </w:pPr>
          </w:p>
          <w:p w:rsidR="000126B0" w:rsidRPr="00C36678" w:rsidRDefault="000126B0" w:rsidP="00225160">
            <w:pPr>
              <w:pStyle w:val="Body-Table-Note"/>
              <w:ind w:left="28"/>
            </w:pPr>
            <w:r w:rsidRPr="00C36678">
              <w:t>Note:</w:t>
            </w:r>
          </w:p>
          <w:p w:rsidR="000126B0" w:rsidRPr="00C36678" w:rsidRDefault="000126B0" w:rsidP="00225160">
            <w:pPr>
              <w:pStyle w:val="Body-Table-Note"/>
              <w:ind w:left="28"/>
              <w:rPr>
                <w:u w:color="FF0000"/>
              </w:rPr>
            </w:pPr>
            <w:r w:rsidRPr="00C36678">
              <w:t xml:space="preserve">The </w:t>
            </w:r>
            <w:hyperlink r:id="rId15" w:history="1">
              <w:r w:rsidRPr="004D2AE0">
                <w:rPr>
                  <w:rStyle w:val="Hyperlink"/>
                  <w:sz w:val="16"/>
                </w:rPr>
                <w:t>class size</w:t>
              </w:r>
            </w:hyperlink>
            <w:r w:rsidRPr="00C36678">
              <w:t xml:space="preserve"> targets for composite classes are informed by the relevant year level target. Where composite classes exist across cohorts (e.g. year 3/4) the class size targets wo</w:t>
            </w:r>
            <w:r>
              <w:t>uld be the lower cohort target.</w:t>
            </w:r>
          </w:p>
        </w:tc>
      </w:tr>
      <w:tr w:rsidR="000126B0"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rPr>
                <w:rFonts w:eastAsia="Meiryo"/>
                <w:u w:color="FF0000"/>
              </w:rPr>
            </w:pPr>
            <w:r w:rsidRPr="00C36678">
              <w:rPr>
                <w:rFonts w:eastAsia="Meiryo"/>
                <w:u w:color="FF0000"/>
              </w:rPr>
              <w:t>Year 7 – Year 10</w:t>
            </w:r>
          </w:p>
        </w:tc>
        <w:tc>
          <w:tcPr>
            <w:tcW w:w="442"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4653A0" w:rsidP="00162A9B">
            <w:pPr>
              <w:pStyle w:val="Body-Table-TextCentred"/>
              <w:keepNext/>
              <w:rPr>
                <w:color w:val="000000"/>
                <w:szCs w:val="16"/>
                <w:u w:color="FF0000"/>
                <w:lang w:eastAsia="en-US"/>
              </w:rPr>
            </w:pPr>
            <w:r>
              <w:rPr>
                <w:color w:val="000000"/>
                <w:szCs w:val="16"/>
                <w:u w:color="FF0000"/>
                <w:lang w:eastAsia="en-US"/>
              </w:rPr>
              <w:t>4-6</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4653A0" w:rsidP="00162A9B">
            <w:pPr>
              <w:pStyle w:val="Body-Table-TextCentred"/>
              <w:keepNext/>
              <w:rPr>
                <w:color w:val="000000"/>
                <w:szCs w:val="16"/>
                <w:u w:color="FF0000"/>
                <w:lang w:eastAsia="en-US"/>
              </w:rPr>
            </w:pPr>
            <w:r>
              <w:rPr>
                <w:color w:val="000000"/>
                <w:szCs w:val="16"/>
                <w:u w:color="FF0000"/>
                <w:lang w:eastAsia="en-US"/>
              </w:rPr>
              <w:t>4-8</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4653A0" w:rsidP="00333A4F">
            <w:pPr>
              <w:pStyle w:val="Body-Table-TextCentred"/>
              <w:keepNext/>
              <w:rPr>
                <w:color w:val="000000"/>
                <w:szCs w:val="16"/>
                <w:u w:color="FF0000"/>
                <w:lang w:eastAsia="en-US"/>
              </w:rPr>
            </w:pPr>
            <w:r>
              <w:rPr>
                <w:color w:val="000000"/>
                <w:szCs w:val="16"/>
                <w:u w:color="FF0000"/>
                <w:lang w:eastAsia="en-US"/>
              </w:rPr>
              <w:t>4-8</w:t>
            </w:r>
          </w:p>
        </w:tc>
        <w:tc>
          <w:tcPr>
            <w:tcW w:w="2469" w:type="pct"/>
            <w:vMerge/>
            <w:tcBorders>
              <w:left w:val="single" w:sz="4" w:space="0" w:color="808080"/>
              <w:right w:val="nil"/>
            </w:tcBorders>
            <w:shd w:val="clear" w:color="auto" w:fill="auto"/>
          </w:tcPr>
          <w:p w:rsidR="000126B0" w:rsidRPr="00C36678" w:rsidRDefault="000126B0" w:rsidP="00D202D9">
            <w:pPr>
              <w:pStyle w:val="Body-Table-Text"/>
              <w:rPr>
                <w:rFonts w:eastAsia="Meiryo"/>
                <w:u w:color="FF0000"/>
              </w:rPr>
            </w:pPr>
          </w:p>
        </w:tc>
      </w:tr>
      <w:tr w:rsidR="000126B0" w:rsidRPr="00C36678" w:rsidTr="00AD614C">
        <w:trPr>
          <w:trHeight w:val="367"/>
        </w:trPr>
        <w:tc>
          <w:tcPr>
            <w:tcW w:w="12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rPr>
                <w:rFonts w:eastAsia="Meiryo"/>
                <w:u w:color="FF0000"/>
              </w:rPr>
            </w:pPr>
            <w:r w:rsidRPr="00C36678">
              <w:rPr>
                <w:rFonts w:eastAsia="Meiryo"/>
                <w:u w:color="FF0000"/>
              </w:rPr>
              <w:t>Year 11 – Year 12</w:t>
            </w:r>
          </w:p>
        </w:tc>
        <w:tc>
          <w:tcPr>
            <w:tcW w:w="442"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4653A0" w:rsidP="00162A9B">
            <w:pPr>
              <w:pStyle w:val="Body-Table-TextCentred"/>
              <w:keepNext/>
              <w:rPr>
                <w:color w:val="000000"/>
                <w:szCs w:val="16"/>
                <w:u w:color="FF0000"/>
                <w:lang w:eastAsia="en-US"/>
              </w:rPr>
            </w:pPr>
            <w:r>
              <w:rPr>
                <w:color w:val="000000"/>
                <w:szCs w:val="16"/>
                <w:u w:color="FF0000"/>
                <w:lang w:eastAsia="en-US"/>
              </w:rPr>
              <w:t>4-6</w:t>
            </w:r>
          </w:p>
        </w:tc>
        <w:tc>
          <w:tcPr>
            <w:tcW w:w="443" w:type="pct"/>
            <w:tcBorders>
              <w:top w:val="single" w:sz="4" w:space="0" w:color="808080"/>
              <w:left w:val="single" w:sz="4" w:space="0" w:color="808080"/>
              <w:bottom w:val="single" w:sz="4" w:space="0" w:color="808080"/>
              <w:right w:val="single" w:sz="4" w:space="0" w:color="808080"/>
            </w:tcBorders>
            <w:vAlign w:val="center"/>
          </w:tcPr>
          <w:p w:rsidR="000126B0" w:rsidRPr="00C36678" w:rsidRDefault="004653A0" w:rsidP="00162A9B">
            <w:pPr>
              <w:pStyle w:val="Body-Table-TextCentred"/>
              <w:keepNext/>
              <w:rPr>
                <w:color w:val="000000"/>
                <w:szCs w:val="16"/>
                <w:u w:color="FF0000"/>
                <w:lang w:eastAsia="en-US"/>
              </w:rPr>
            </w:pPr>
            <w:r>
              <w:rPr>
                <w:color w:val="000000"/>
                <w:szCs w:val="16"/>
                <w:u w:color="FF0000"/>
                <w:lang w:eastAsia="en-US"/>
              </w:rPr>
              <w:t>4-8</w:t>
            </w:r>
          </w:p>
        </w:tc>
        <w:tc>
          <w:tcPr>
            <w:tcW w:w="443" w:type="pct"/>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4653A0" w:rsidP="00333A4F">
            <w:pPr>
              <w:pStyle w:val="Body-Table-TextCentred"/>
              <w:keepNext/>
              <w:rPr>
                <w:color w:val="000000"/>
                <w:szCs w:val="16"/>
                <w:u w:color="FF0000"/>
                <w:lang w:eastAsia="en-US"/>
              </w:rPr>
            </w:pPr>
            <w:r>
              <w:rPr>
                <w:color w:val="000000"/>
                <w:szCs w:val="16"/>
                <w:u w:color="FF0000"/>
                <w:lang w:eastAsia="en-US"/>
              </w:rPr>
              <w:t>4-8</w:t>
            </w:r>
          </w:p>
        </w:tc>
        <w:tc>
          <w:tcPr>
            <w:tcW w:w="2469" w:type="pct"/>
            <w:vMerge/>
            <w:tcBorders>
              <w:left w:val="single" w:sz="4" w:space="0" w:color="808080"/>
              <w:bottom w:val="nil"/>
              <w:right w:val="nil"/>
            </w:tcBorders>
            <w:shd w:val="clear" w:color="auto" w:fill="auto"/>
          </w:tcPr>
          <w:p w:rsidR="000126B0" w:rsidRPr="00C36678" w:rsidRDefault="000126B0" w:rsidP="00D202D9">
            <w:pPr>
              <w:pStyle w:val="Body-Table-Text"/>
              <w:rPr>
                <w:rFonts w:eastAsia="Meiryo"/>
                <w:u w:color="FF0000"/>
              </w:rPr>
            </w:pPr>
          </w:p>
        </w:tc>
      </w:tr>
    </w:tbl>
    <w:p w:rsidR="000126B0" w:rsidRPr="00C36678" w:rsidRDefault="000126B0" w:rsidP="00C443F2">
      <w:pPr>
        <w:pStyle w:val="Body-Text"/>
        <w:rPr>
          <w:lang w:eastAsia="en-US"/>
        </w:rPr>
      </w:pPr>
    </w:p>
    <w:p w:rsidR="000126B0" w:rsidRPr="00C36678" w:rsidRDefault="000126B0" w:rsidP="00AE6C76">
      <w:pPr>
        <w:pStyle w:val="Body-Text-Smallspace"/>
      </w:pPr>
    </w:p>
    <w:p w:rsidR="000126B0" w:rsidRPr="00C36678" w:rsidRDefault="000126B0" w:rsidP="00C443F2">
      <w:pPr>
        <w:pStyle w:val="Heading2-AR"/>
        <w:rPr>
          <w:sz w:val="36"/>
          <w:szCs w:val="36"/>
        </w:rPr>
      </w:pPr>
      <w:r w:rsidRPr="00C36678">
        <w:t>Curriculum delivery</w:t>
      </w:r>
    </w:p>
    <w:p w:rsidR="000126B0" w:rsidRPr="00C36678" w:rsidRDefault="000126B0" w:rsidP="00AE6C76">
      <w:pPr>
        <w:pStyle w:val="Body-Text-Smallspace"/>
      </w:pPr>
    </w:p>
    <w:p w:rsidR="000126B0" w:rsidRPr="00C36678" w:rsidRDefault="000126B0" w:rsidP="00523AE2">
      <w:pPr>
        <w:pStyle w:val="Heading3-AR"/>
      </w:pPr>
      <w:r w:rsidRPr="00C36678">
        <w:t>Our approach to curriculum delivery</w:t>
      </w:r>
    </w:p>
    <w:p w:rsidR="00703169" w:rsidRDefault="00703169" w:rsidP="00703169">
      <w:pPr>
        <w:pStyle w:val="Body-Text"/>
        <w:rPr>
          <w:lang w:eastAsia="en-US"/>
        </w:rPr>
      </w:pPr>
      <w:r>
        <w:rPr>
          <w:lang w:eastAsia="en-US"/>
        </w:rPr>
        <w:t>All students at Clifford Park Special School have a documented Student Plan.  The development of Student plans occurs after collaboration with the student’s stakeholder group including their parent/carer and other interested partners in the students’ educational journey.  The Student Plan is documented on the OneSchool platform.  Within each Student Plan the following documentation occurs:</w:t>
      </w:r>
    </w:p>
    <w:p w:rsidR="00703169" w:rsidRDefault="00703169" w:rsidP="00703169">
      <w:pPr>
        <w:pStyle w:val="Body-Text"/>
        <w:rPr>
          <w:lang w:eastAsia="en-US"/>
        </w:rPr>
      </w:pPr>
      <w:r>
        <w:rPr>
          <w:lang w:eastAsia="en-US"/>
        </w:rPr>
        <w:t xml:space="preserve">• Personalised Learning:  The student’s personalised learning needs are recorded including key characteristics, impacts and adjustments that are required to engage the student in learning.  Students in Year 11 and 12 have their Curriculum Plan recorded, and other associated documentation such as their PATH plan (Planning Alternate Tomorrows with Hope) and SET Plan (Senior Education Transition Plan).  Documents such as Specific Individual Risk Assessments and Multi-Element Plans are attached for students who require extensive adjustments due to behavioural challenges. </w:t>
      </w:r>
    </w:p>
    <w:p w:rsidR="00703169" w:rsidRDefault="00703169" w:rsidP="00703169">
      <w:pPr>
        <w:pStyle w:val="Body-Text"/>
        <w:rPr>
          <w:lang w:eastAsia="en-US"/>
        </w:rPr>
      </w:pPr>
      <w:r>
        <w:rPr>
          <w:lang w:eastAsia="en-US"/>
        </w:rPr>
        <w:t>• Individual Curriculum Plans (for students in Years 7-10): Documents the student’s engagement in the Australian Curriculum at their level of engagement.</w:t>
      </w:r>
    </w:p>
    <w:p w:rsidR="00703169" w:rsidRDefault="00703169" w:rsidP="00703169">
      <w:pPr>
        <w:pStyle w:val="Body-Text"/>
        <w:rPr>
          <w:lang w:eastAsia="en-US"/>
        </w:rPr>
      </w:pPr>
      <w:r>
        <w:rPr>
          <w:lang w:eastAsia="en-US"/>
        </w:rPr>
        <w:t>• Health Management:  If required students’ health needs are documented with associated adjustments.</w:t>
      </w:r>
    </w:p>
    <w:p w:rsidR="00703169" w:rsidRDefault="00703169" w:rsidP="00703169">
      <w:pPr>
        <w:pStyle w:val="Body-Text"/>
        <w:rPr>
          <w:lang w:eastAsia="en-US"/>
        </w:rPr>
      </w:pPr>
      <w:r>
        <w:rPr>
          <w:lang w:eastAsia="en-US"/>
        </w:rPr>
        <w:t xml:space="preserve">• Complex Case Support:  Students whose profile is quite complex and extensive adjustments are required to assist with school engagement, documentation of a Complex Case Support occurs. These students often have Mental Health concerns. </w:t>
      </w:r>
    </w:p>
    <w:p w:rsidR="00703169" w:rsidRDefault="00703169" w:rsidP="00703169">
      <w:pPr>
        <w:pStyle w:val="Body-Text"/>
        <w:rPr>
          <w:lang w:eastAsia="en-US"/>
        </w:rPr>
      </w:pPr>
      <w:r>
        <w:rPr>
          <w:lang w:eastAsia="en-US"/>
        </w:rPr>
        <w:t>• Support Provisions:  Students’ engagement in other learning areas and programs are documented.  This includes Human Relationships Education (HRP), swimming programs, and specific mandatory student plans, such as the Education Support Plan for students in the care of the state.</w:t>
      </w:r>
    </w:p>
    <w:p w:rsidR="00703169" w:rsidRDefault="00703169" w:rsidP="00703169">
      <w:pPr>
        <w:pStyle w:val="Body-Text"/>
        <w:rPr>
          <w:lang w:eastAsia="en-US"/>
        </w:rPr>
      </w:pPr>
      <w:r>
        <w:rPr>
          <w:lang w:eastAsia="en-US"/>
        </w:rPr>
        <w:t>All students either have an Individual Curriculum Plan (ICP) (Year 7-10) based on the Australian Curriculum, or a Curriculum Plan (Year 11 and 12) framed around the Guideline for Individual Learning in preparation for receiving the Queensland Certificate of Individual Achievement (QCIA) on graduation.  All students engage in units set in age-equivalent Learning Area content. Units, in particular English units, are framed around the core content areas of text creation, vocabulary and interaction skills. All students participate in reading/literacy programs and numeracy programs each day, with particular emphasis on achieving their personalized reading/literacy or numeracy expectation.</w:t>
      </w:r>
    </w:p>
    <w:p w:rsidR="00703169" w:rsidRDefault="00703169" w:rsidP="00703169">
      <w:pPr>
        <w:pStyle w:val="Body-Text"/>
        <w:rPr>
          <w:lang w:eastAsia="en-US"/>
        </w:rPr>
      </w:pPr>
      <w:r>
        <w:rPr>
          <w:lang w:eastAsia="en-US"/>
        </w:rPr>
        <w:t>Students in the senior secondary cohort can access other curriculum-based programs based on their PATH (Planning Alternate Tomorrows with Hope) Plan.  These include work experience programs, access to accredited certificate courses, Traineeships, school based work programs, and the Post School Sampling Program (PSSP).</w:t>
      </w:r>
    </w:p>
    <w:p w:rsidR="000126B0" w:rsidRPr="00C36678" w:rsidRDefault="00703169" w:rsidP="00703169">
      <w:pPr>
        <w:pStyle w:val="Body-Text"/>
        <w:rPr>
          <w:lang w:eastAsia="en-US"/>
        </w:rPr>
      </w:pPr>
      <w:r>
        <w:rPr>
          <w:lang w:eastAsia="en-US"/>
        </w:rPr>
        <w:t>Because our students have diverse learning needs reflected in their access of Highly Individualised Curriculum or Different Year Level Partial Curriculum, different pedagogical strategies are used to enhance the learning opportunities of all cohorts of learners.  The Sixteen Elements of Explicit Instruction is the major pedagogical framework used at Clifford Park Special School with Pearson’s Gradual Release of Responsibility used to explicitly organize teaching and learning sequences. Our Reading Cycle is based on First Steps in Reading, while the RAMR (Reality, Abstraction, Maths and Reflection) cycle is the pedagogical framework for teaching Maths.  Other strategies such as Intensive Interaction, or specific communication systems such as PECS (Picture Exchange Communication System) or PODD (Pragmatic Organisational Dynamic Display) are employed for specific cohorts of students as required.</w:t>
      </w:r>
    </w:p>
    <w:p w:rsidR="000126B0" w:rsidRPr="00C36678" w:rsidRDefault="000126B0" w:rsidP="00AE6C76">
      <w:pPr>
        <w:pStyle w:val="Body-Text-Smallspace"/>
      </w:pPr>
    </w:p>
    <w:p w:rsidR="000126B0" w:rsidRPr="00C36678" w:rsidRDefault="000126B0" w:rsidP="00523AE2">
      <w:pPr>
        <w:pStyle w:val="Heading3-AR"/>
      </w:pPr>
      <w:r w:rsidRPr="00C36678">
        <w:t>Co-curricular activities</w:t>
      </w:r>
    </w:p>
    <w:p w:rsidR="00552C57" w:rsidRDefault="00552C57" w:rsidP="00552C57">
      <w:pPr>
        <w:pStyle w:val="Body-Text"/>
      </w:pPr>
      <w:r>
        <w:t>In 201</w:t>
      </w:r>
      <w:r w:rsidR="00BC3488">
        <w:t>8</w:t>
      </w:r>
      <w:r>
        <w:t>, students were able to engage in a number of extra curricula activities including:</w:t>
      </w:r>
    </w:p>
    <w:p w:rsidR="00552C57" w:rsidRDefault="00552C57" w:rsidP="00552C57">
      <w:pPr>
        <w:pStyle w:val="Body-Text"/>
      </w:pPr>
      <w:r>
        <w:t>• swimming programs in the school’s own heated swimming pool;</w:t>
      </w:r>
    </w:p>
    <w:p w:rsidR="00552C57" w:rsidRDefault="00AC68D7" w:rsidP="00552C57">
      <w:pPr>
        <w:pStyle w:val="Body-Text"/>
      </w:pPr>
      <w:r>
        <w:t>• Horse Riding for the Disabled;</w:t>
      </w:r>
    </w:p>
    <w:p w:rsidR="00552C57" w:rsidRDefault="00552C57" w:rsidP="00552C57">
      <w:pPr>
        <w:pStyle w:val="Body-Text"/>
      </w:pPr>
      <w:r>
        <w:t>• paper-delivery program for students in the junior secondary cohort;</w:t>
      </w:r>
    </w:p>
    <w:p w:rsidR="000126B0" w:rsidRPr="00C36678" w:rsidRDefault="00552C57" w:rsidP="00552C57">
      <w:pPr>
        <w:pStyle w:val="Body-Text"/>
      </w:pPr>
      <w:r>
        <w:t>• PATH related activities including work experience, work placements, traineeships, certificate courses, work programs and Post School Sampling Program.</w:t>
      </w:r>
    </w:p>
    <w:p w:rsidR="000126B0" w:rsidRPr="00C36678" w:rsidRDefault="000126B0" w:rsidP="00AE6C76">
      <w:pPr>
        <w:pStyle w:val="Body-Text-Smallspace"/>
      </w:pPr>
    </w:p>
    <w:p w:rsidR="000126B0" w:rsidRPr="00C36678" w:rsidRDefault="000126B0" w:rsidP="00523AE2">
      <w:pPr>
        <w:pStyle w:val="Heading3-AR"/>
      </w:pPr>
      <w:r w:rsidRPr="00C36678">
        <w:t>How information and communication technologies are used to assist learning</w:t>
      </w:r>
    </w:p>
    <w:p w:rsidR="005216CD" w:rsidRDefault="005216CD" w:rsidP="005216CD">
      <w:pPr>
        <w:pStyle w:val="Body-Text"/>
        <w:rPr>
          <w:lang w:eastAsia="en-US"/>
        </w:rPr>
      </w:pPr>
      <w:r>
        <w:rPr>
          <w:lang w:eastAsia="en-US"/>
        </w:rPr>
        <w:t>In 2018:</w:t>
      </w:r>
    </w:p>
    <w:p w:rsidR="005216CD" w:rsidRDefault="005216CD" w:rsidP="005216CD">
      <w:pPr>
        <w:pStyle w:val="Body-Text"/>
        <w:rPr>
          <w:lang w:eastAsia="en-US"/>
        </w:rPr>
      </w:pPr>
      <w:r>
        <w:rPr>
          <w:lang w:eastAsia="en-US"/>
        </w:rPr>
        <w:t>• all students and teachers were connected to the school network with wireless connection available in all teaching blocks and non-teaching blocks;</w:t>
      </w:r>
    </w:p>
    <w:p w:rsidR="005216CD" w:rsidRDefault="005216CD" w:rsidP="005216CD">
      <w:pPr>
        <w:pStyle w:val="Body-Text"/>
        <w:rPr>
          <w:lang w:eastAsia="en-US"/>
        </w:rPr>
      </w:pPr>
      <w:r>
        <w:rPr>
          <w:lang w:eastAsia="en-US"/>
        </w:rPr>
        <w:t>• students had access to 37 student laptops and 49 iPads to enhance their learning.  Some iPads were loaded with communication technology, such as Prologue2Go for students who have limited communication skills.</w:t>
      </w:r>
    </w:p>
    <w:p w:rsidR="005216CD" w:rsidRDefault="005216CD" w:rsidP="005216CD">
      <w:pPr>
        <w:pStyle w:val="Body-Text"/>
        <w:rPr>
          <w:lang w:eastAsia="en-US"/>
        </w:rPr>
      </w:pPr>
      <w:r>
        <w:rPr>
          <w:lang w:eastAsia="en-US"/>
        </w:rPr>
        <w:t>• a small computer laboratory continues to function with an increased 15 networked desktop computers enabling a class of students to engage with digital learning activities at the same time, as well as allowing access for students during break times;</w:t>
      </w:r>
    </w:p>
    <w:p w:rsidR="005216CD" w:rsidRDefault="005216CD" w:rsidP="005216CD">
      <w:pPr>
        <w:pStyle w:val="Body-Text"/>
        <w:rPr>
          <w:lang w:eastAsia="en-US"/>
        </w:rPr>
      </w:pPr>
      <w:r>
        <w:rPr>
          <w:lang w:eastAsia="en-US"/>
        </w:rPr>
        <w:t>• all classrooms are fitted with interactive projectors or interactive whiteboards; and</w:t>
      </w:r>
    </w:p>
    <w:p w:rsidR="000126B0" w:rsidRPr="00C36678" w:rsidRDefault="005216CD" w:rsidP="005216CD">
      <w:pPr>
        <w:pStyle w:val="Body-Text"/>
        <w:rPr>
          <w:lang w:eastAsia="en-US"/>
        </w:rPr>
      </w:pPr>
      <w:r>
        <w:rPr>
          <w:lang w:eastAsia="en-US"/>
        </w:rPr>
        <w:t>• the multipurpose room, staffroom and meeting room also have access to Interactive Projectors to aid in professional learning opportunities.</w:t>
      </w:r>
    </w:p>
    <w:p w:rsidR="000126B0" w:rsidRPr="00C36678" w:rsidRDefault="000126B0" w:rsidP="00AE6C76">
      <w:pPr>
        <w:pStyle w:val="Body-Text-Smallspace"/>
      </w:pPr>
    </w:p>
    <w:p w:rsidR="000126B0" w:rsidRPr="00C36678" w:rsidRDefault="000126B0" w:rsidP="00523AE2">
      <w:pPr>
        <w:pStyle w:val="Heading2-AR"/>
        <w:rPr>
          <w:color w:val="000000"/>
        </w:rPr>
      </w:pPr>
      <w:r w:rsidRPr="00C36678">
        <w:t>Social climate</w:t>
      </w:r>
    </w:p>
    <w:p w:rsidR="000126B0" w:rsidRPr="00C36678" w:rsidRDefault="000126B0" w:rsidP="00AE6C76">
      <w:pPr>
        <w:pStyle w:val="Body-Text-Smallspace"/>
      </w:pPr>
    </w:p>
    <w:p w:rsidR="000126B0" w:rsidRPr="00C36678" w:rsidRDefault="000126B0" w:rsidP="00523AE2">
      <w:pPr>
        <w:pStyle w:val="Heading3-AR"/>
      </w:pPr>
      <w:r w:rsidRPr="00C36678">
        <w:t>Overview</w:t>
      </w:r>
    </w:p>
    <w:p w:rsidR="00AC68D7" w:rsidRDefault="00BC3488" w:rsidP="00AC68D7">
      <w:pPr>
        <w:pStyle w:val="Body-Text"/>
        <w:jc w:val="both"/>
        <w:rPr>
          <w:lang w:eastAsia="en-US"/>
        </w:rPr>
      </w:pPr>
      <w:r>
        <w:rPr>
          <w:lang w:eastAsia="en-US"/>
        </w:rPr>
        <w:t>Our school engagement with the Positive Behaviour for Learning</w:t>
      </w:r>
      <w:r w:rsidR="00AC68D7">
        <w:rPr>
          <w:lang w:eastAsia="en-US"/>
        </w:rPr>
        <w:t xml:space="preserve"> (PBL) framework throughout 2018</w:t>
      </w:r>
      <w:r>
        <w:rPr>
          <w:lang w:eastAsia="en-US"/>
        </w:rPr>
        <w:t xml:space="preserve"> continues to strengthen.  The PBL team had regular team meetings three times each term, with a parent included as a team member.  There was a school wide focus on proactive strategies to deal with Contextually Inappropriate Behaviours, the use of ecological strategies to reduce challenging behaviours, a stronger use of </w:t>
      </w:r>
      <w:r w:rsidR="000F3EFD">
        <w:rPr>
          <w:lang w:eastAsia="en-US"/>
        </w:rPr>
        <w:t>reinforcers</w:t>
      </w:r>
      <w:r>
        <w:rPr>
          <w:lang w:eastAsia="en-US"/>
        </w:rPr>
        <w:t xml:space="preserve"> to reward appropriate and positive behaviours through the LIKES system, and individual strategies to decrea</w:t>
      </w:r>
      <w:r w:rsidR="00AC68D7">
        <w:rPr>
          <w:lang w:eastAsia="en-US"/>
        </w:rPr>
        <w:t>se the incidence occurring. 2018</w:t>
      </w:r>
      <w:r>
        <w:rPr>
          <w:lang w:eastAsia="en-US"/>
        </w:rPr>
        <w:t xml:space="preserve"> saw an emphasis on the instigation of ‘events’ to further reinforce the engagement of students in following the four school expectations – Be Respectful, Be Responsible, Be Safe and Be Resilient.  In whole school forums such as assembly, and within classrooms the four school expectations are taught explicitly with weekly lessons. Although whole school strategies and procedures were in place, Clifford Park still focused on individual differences and the diverse learning needs of all students as the basis for the management of student behaviours.</w:t>
      </w:r>
      <w:r w:rsidR="00AC68D7">
        <w:rPr>
          <w:lang w:eastAsia="en-US"/>
        </w:rPr>
        <w:t xml:space="preserve">  </w:t>
      </w:r>
      <w:r>
        <w:rPr>
          <w:lang w:eastAsia="en-US"/>
        </w:rPr>
        <w:t>The Student Support</w:t>
      </w:r>
      <w:r w:rsidR="00AC68D7">
        <w:rPr>
          <w:lang w:eastAsia="en-US"/>
        </w:rPr>
        <w:t xml:space="preserve"> Team was available through 2018</w:t>
      </w:r>
      <w:r>
        <w:rPr>
          <w:lang w:eastAsia="en-US"/>
        </w:rPr>
        <w:t xml:space="preserve"> to assist teachers in designing positive behavior strategies for students that require complex management using a collegial framework.  The role of the Student Support T</w:t>
      </w:r>
      <w:r w:rsidR="00AC68D7">
        <w:rPr>
          <w:lang w:eastAsia="en-US"/>
        </w:rPr>
        <w:t>eam will be enhanced during 2019</w:t>
      </w:r>
      <w:r>
        <w:rPr>
          <w:lang w:eastAsia="en-US"/>
        </w:rPr>
        <w:t xml:space="preserve"> and strong structures and procedures will be implemented. Students with mental health difficulties were highly supported within our school, by individual and specialised services when appropriate.</w:t>
      </w:r>
      <w:r w:rsidR="00AC68D7">
        <w:rPr>
          <w:lang w:eastAsia="en-US"/>
        </w:rPr>
        <w:t xml:space="preserve"> </w:t>
      </w:r>
    </w:p>
    <w:p w:rsidR="00BC3488" w:rsidRDefault="00AC68D7" w:rsidP="00AC68D7">
      <w:pPr>
        <w:pStyle w:val="Body-Text"/>
        <w:jc w:val="both"/>
        <w:rPr>
          <w:lang w:eastAsia="en-US"/>
        </w:rPr>
      </w:pPr>
      <w:r>
        <w:rPr>
          <w:lang w:eastAsia="en-US"/>
        </w:rPr>
        <w:t xml:space="preserve">The school has regular stakeholder meetings with community organisations to support the child in a holistic manner. Funds are used to support teachers in meeting with stakeholders to ensure learning is continuous and intentional.   In 2018, a teacher was offline for a number of days each week to assist families in gaining support from the National Disability Insurance Scheme.  </w:t>
      </w:r>
      <w:r w:rsidR="00BC3488">
        <w:rPr>
          <w:lang w:eastAsia="en-US"/>
        </w:rPr>
        <w:t xml:space="preserve"> </w:t>
      </w:r>
      <w:r>
        <w:rPr>
          <w:lang w:eastAsia="en-US"/>
        </w:rPr>
        <w:t xml:space="preserve">Her role included assisting families to advocate for funding through attendance at meetings, completing necessary documentation, interacting with Centrelink and other funding organisations, </w:t>
      </w:r>
      <w:r w:rsidR="00B64C36">
        <w:rPr>
          <w:lang w:eastAsia="en-US"/>
        </w:rPr>
        <w:t xml:space="preserve">and </w:t>
      </w:r>
      <w:r>
        <w:rPr>
          <w:lang w:eastAsia="en-US"/>
        </w:rPr>
        <w:t>assist</w:t>
      </w:r>
      <w:r w:rsidR="00B64C36">
        <w:rPr>
          <w:lang w:eastAsia="en-US"/>
        </w:rPr>
        <w:t xml:space="preserve">ing with respite and other disability services. </w:t>
      </w:r>
      <w:r>
        <w:rPr>
          <w:lang w:eastAsia="en-US"/>
        </w:rPr>
        <w:t xml:space="preserve"> </w:t>
      </w:r>
    </w:p>
    <w:p w:rsidR="00AF6B26" w:rsidRDefault="00BC3488" w:rsidP="00FF7F06">
      <w:pPr>
        <w:pStyle w:val="Body-Text"/>
        <w:rPr>
          <w:lang w:eastAsia="en-US"/>
        </w:rPr>
      </w:pPr>
      <w:r>
        <w:rPr>
          <w:lang w:eastAsia="en-US"/>
        </w:rPr>
        <w:t xml:space="preserve">Our social climate is influenced by our overall school vision and a strong belief that all students can learn and should have equitable access to educational services. This positive social climate at Clifford Park Special School </w:t>
      </w:r>
      <w:r w:rsidR="00B64C36">
        <w:rPr>
          <w:lang w:eastAsia="en-US"/>
        </w:rPr>
        <w:t>is reflected in the 2018</w:t>
      </w:r>
      <w:r w:rsidR="00607882">
        <w:rPr>
          <w:lang w:eastAsia="en-US"/>
        </w:rPr>
        <w:t xml:space="preserve"> School Opinion Survey where </w:t>
      </w:r>
      <w:r w:rsidR="00AF6B26">
        <w:rPr>
          <w:lang w:eastAsia="en-US"/>
        </w:rPr>
        <w:t xml:space="preserve">parents who responded to the survey rated very highly </w:t>
      </w:r>
      <w:r>
        <w:rPr>
          <w:lang w:eastAsia="en-US"/>
        </w:rPr>
        <w:t xml:space="preserve">that their child felt safe at school, was treated fairly at school and that behaviour was well managed at school.  </w:t>
      </w:r>
    </w:p>
    <w:p w:rsidR="00FF7F06" w:rsidRDefault="00FF7F06" w:rsidP="00FF7F06">
      <w:pPr>
        <w:pStyle w:val="Body-Text"/>
        <w:rPr>
          <w:lang w:eastAsia="en-US"/>
        </w:rPr>
      </w:pPr>
    </w:p>
    <w:p w:rsidR="00FF7F06" w:rsidRDefault="00FF7F06" w:rsidP="00FF7F06">
      <w:pPr>
        <w:pStyle w:val="Body-Text"/>
        <w:rPr>
          <w:lang w:eastAsia="en-US"/>
        </w:rPr>
      </w:pPr>
    </w:p>
    <w:p w:rsidR="00FF7F06" w:rsidRDefault="00FF7F06" w:rsidP="00FF7F06">
      <w:pPr>
        <w:pStyle w:val="Body-Text"/>
        <w:rPr>
          <w:lang w:eastAsia="en-US"/>
        </w:rPr>
      </w:pPr>
    </w:p>
    <w:p w:rsidR="00FF7F06" w:rsidRDefault="00FF7F06" w:rsidP="00523AE2">
      <w:pPr>
        <w:pStyle w:val="Heading3-AR"/>
      </w:pPr>
    </w:p>
    <w:p w:rsidR="000126B0" w:rsidRPr="00C36678" w:rsidRDefault="000126B0" w:rsidP="00523AE2">
      <w:pPr>
        <w:pStyle w:val="Heading3-AR"/>
      </w:pPr>
      <w:r w:rsidRPr="00C36678">
        <w:t>Parent, student and staff satisfaction</w:t>
      </w:r>
    </w:p>
    <w:p w:rsidR="000126B0" w:rsidRPr="00C36678" w:rsidRDefault="000126B0" w:rsidP="00B86E6F">
      <w:pPr>
        <w:pStyle w:val="Body-Text"/>
        <w:rPr>
          <w:lang w:eastAsia="en-US"/>
        </w:rPr>
      </w:pPr>
      <w:r w:rsidRPr="00DF75DD">
        <w:t xml:space="preserve">Tables </w:t>
      </w:r>
      <w:r w:rsidRPr="00C36678">
        <w:rPr>
          <w:lang w:eastAsia="en-US"/>
        </w:rPr>
        <w:t>3–5 show selected items from the Parent/Caregiver, Student and Staff School Opinion Surveys.</w:t>
      </w:r>
    </w:p>
    <w:p w:rsidR="000126B0" w:rsidRPr="00C36678" w:rsidRDefault="000126B0" w:rsidP="00456FE9">
      <w:pPr>
        <w:pStyle w:val="Body-Text-Smallspace"/>
      </w:pPr>
    </w:p>
    <w:p w:rsidR="000126B0" w:rsidRPr="00C36678" w:rsidRDefault="000126B0" w:rsidP="004D4B7E">
      <w:pPr>
        <w:pStyle w:val="TableCaption-AR"/>
      </w:pPr>
      <w:r w:rsidRPr="00C36678">
        <w:t>Table 3: Parent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2"/>
        <w:gridCol w:w="1024"/>
        <w:gridCol w:w="1024"/>
        <w:gridCol w:w="1025"/>
      </w:tblGrid>
      <w:tr w:rsidR="000126B0" w:rsidRPr="00C36678" w:rsidTr="00AD614C">
        <w:trPr>
          <w:trHeight w:val="340"/>
          <w:tblHeader/>
        </w:trPr>
        <w:tc>
          <w:tcPr>
            <w:tcW w:w="6572" w:type="dxa"/>
            <w:shd w:val="clear" w:color="auto" w:fill="C1ECFF"/>
            <w:vAlign w:val="center"/>
          </w:tcPr>
          <w:p w:rsidR="000126B0" w:rsidRPr="00C36678" w:rsidRDefault="000126B0" w:rsidP="00F224E9">
            <w:pPr>
              <w:pStyle w:val="Body-Table-Heading"/>
            </w:pPr>
            <w:r w:rsidRPr="00C36678">
              <w:t>Percentage of parents/caregivers who agree</w:t>
            </w:r>
            <w:r w:rsidRPr="00C36678">
              <w:rPr>
                <w:vertAlign w:val="superscript"/>
              </w:rPr>
              <w:t>#</w:t>
            </w:r>
            <w:r w:rsidRPr="00C36678">
              <w:t xml:space="preserve"> that:</w:t>
            </w:r>
          </w:p>
        </w:tc>
        <w:tc>
          <w:tcPr>
            <w:tcW w:w="1024" w:type="dxa"/>
            <w:shd w:val="clear" w:color="auto" w:fill="C1ECFF"/>
            <w:vAlign w:val="center"/>
          </w:tcPr>
          <w:p w:rsidR="000126B0" w:rsidRPr="00C36678" w:rsidRDefault="000126B0" w:rsidP="00B81905">
            <w:pPr>
              <w:pStyle w:val="Body-Table-HeadingCentred"/>
            </w:pPr>
            <w:r w:rsidRPr="00C36678">
              <w:t>2016</w:t>
            </w:r>
          </w:p>
        </w:tc>
        <w:tc>
          <w:tcPr>
            <w:tcW w:w="1024" w:type="dxa"/>
            <w:shd w:val="clear" w:color="auto" w:fill="C1ECFF"/>
            <w:vAlign w:val="center"/>
          </w:tcPr>
          <w:p w:rsidR="000126B0" w:rsidRPr="00C36678" w:rsidRDefault="000126B0" w:rsidP="00B81905">
            <w:pPr>
              <w:pStyle w:val="Body-Table-HeadingCentred"/>
            </w:pPr>
            <w:r w:rsidRPr="00C36678">
              <w:t>2017</w:t>
            </w:r>
          </w:p>
        </w:tc>
        <w:tc>
          <w:tcPr>
            <w:tcW w:w="1025" w:type="dxa"/>
            <w:shd w:val="clear" w:color="auto" w:fill="C1ECFF"/>
            <w:vAlign w:val="center"/>
          </w:tcPr>
          <w:p w:rsidR="000126B0" w:rsidRPr="00C36678" w:rsidRDefault="000126B0" w:rsidP="00B81905">
            <w:pPr>
              <w:pStyle w:val="Body-Table-HeadingCentred"/>
            </w:pPr>
            <w:r w:rsidRPr="00C36678">
              <w:t>2018</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their child is getting a good education at school (S2016)</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this is a good school (S2035)</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their child likes being at this school* (S2001)</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90%</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their child feels safe at this school* (S2002)</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their child's learning needs are being met at this school* (S2003)</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93%</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their child is making good progress at this school* (S2004)</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teachers at this school expect their child to do his or her best* (S2005)</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teachers at this school provide their child with useful feedback about his or her school work* (S2006)</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90%</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teachers at this school motivate their child to learn* (S2007)</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teachers at this school treat students fairly* (S2008)</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90%</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they can talk to their child's teachers about their concerns* (S2009)</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this school works with them to support their child's learning* (S2010)</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90%</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this school takes parents' opinions seriously* (S2011)</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student behaviour is well managed at this school* (S2012)</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86%</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this school looks for ways to improve* (S2013)</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95%</w:t>
            </w:r>
          </w:p>
        </w:tc>
      </w:tr>
      <w:tr w:rsidR="000126B0" w:rsidRPr="00C36678" w:rsidTr="00AD614C">
        <w:trPr>
          <w:trHeight w:val="340"/>
        </w:trPr>
        <w:tc>
          <w:tcPr>
            <w:tcW w:w="6572" w:type="dxa"/>
            <w:shd w:val="clear" w:color="auto" w:fill="auto"/>
            <w:vAlign w:val="center"/>
          </w:tcPr>
          <w:p w:rsidR="000126B0" w:rsidRPr="00C36678" w:rsidRDefault="000126B0" w:rsidP="005C58D0">
            <w:pPr>
              <w:pStyle w:val="Body-Table-Bullet"/>
              <w:rPr>
                <w:rFonts w:eastAsia="Meiryo"/>
                <w:szCs w:val="16"/>
              </w:rPr>
            </w:pPr>
            <w:r w:rsidRPr="00C36678">
              <w:t>this school is well maintained* (S2014)</w:t>
            </w:r>
          </w:p>
        </w:tc>
        <w:tc>
          <w:tcPr>
            <w:tcW w:w="1024" w:type="dxa"/>
            <w:shd w:val="clear" w:color="auto" w:fill="auto"/>
            <w:vAlign w:val="center"/>
          </w:tcPr>
          <w:p w:rsidR="000126B0" w:rsidRPr="00C36678" w:rsidRDefault="000126B0" w:rsidP="00EB09C7">
            <w:pPr>
              <w:pStyle w:val="Body-Table-TextCentred"/>
              <w:rPr>
                <w:szCs w:val="16"/>
              </w:rPr>
            </w:pPr>
            <w:r w:rsidRPr="00211E08">
              <w:rPr>
                <w:noProof/>
              </w:rPr>
              <w:t>100%</w:t>
            </w:r>
          </w:p>
        </w:tc>
        <w:tc>
          <w:tcPr>
            <w:tcW w:w="1024"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c>
          <w:tcPr>
            <w:tcW w:w="1025" w:type="dxa"/>
            <w:shd w:val="clear" w:color="auto" w:fill="auto"/>
            <w:vAlign w:val="center"/>
          </w:tcPr>
          <w:p w:rsidR="000126B0" w:rsidRPr="00C36678" w:rsidRDefault="000126B0" w:rsidP="00EB09C7">
            <w:pPr>
              <w:pStyle w:val="Body-Table-TextCentred"/>
              <w:rPr>
                <w:szCs w:val="16"/>
              </w:rPr>
            </w:pPr>
            <w:r w:rsidRPr="00211E08">
              <w:rPr>
                <w:noProof/>
                <w:szCs w:val="16"/>
              </w:rPr>
              <w:t>100%</w:t>
            </w:r>
          </w:p>
        </w:tc>
      </w:tr>
      <w:tr w:rsidR="000126B0" w:rsidRPr="00C36678" w:rsidTr="00AD614C">
        <w:trPr>
          <w:trHeight w:val="340"/>
        </w:trPr>
        <w:tc>
          <w:tcPr>
            <w:tcW w:w="9645" w:type="dxa"/>
            <w:gridSpan w:val="4"/>
            <w:tcBorders>
              <w:left w:val="nil"/>
              <w:bottom w:val="nil"/>
              <w:right w:val="nil"/>
            </w:tcBorders>
            <w:shd w:val="clear" w:color="auto" w:fill="auto"/>
            <w:vAlign w:val="center"/>
          </w:tcPr>
          <w:p w:rsidR="000126B0" w:rsidRPr="00C36678" w:rsidRDefault="000126B0" w:rsidP="00A954D3">
            <w:pPr>
              <w:pStyle w:val="Body-Text-Smallspace"/>
            </w:pPr>
          </w:p>
          <w:p w:rsidR="000126B0" w:rsidRPr="00C36678" w:rsidRDefault="000126B0" w:rsidP="008551AF">
            <w:pPr>
              <w:pStyle w:val="Body-Table-Note"/>
            </w:pPr>
            <w:r w:rsidRPr="00C36678">
              <w:t>* Nationally agreed student and parent/caregiver items.</w:t>
            </w:r>
          </w:p>
          <w:p w:rsidR="000126B0" w:rsidRPr="00C36678" w:rsidRDefault="000126B0" w:rsidP="008551AF">
            <w:pPr>
              <w:pStyle w:val="Body-Table-Note"/>
            </w:pPr>
            <w:r w:rsidRPr="00C36678">
              <w:t># ‘Agree’ represents the percentage of respondents who Somewhat Agree, Agree or Strongly Agree with the statement.</w:t>
            </w:r>
          </w:p>
          <w:p w:rsidR="000126B0" w:rsidRPr="00C36678" w:rsidRDefault="000126B0" w:rsidP="00BB159F">
            <w:pPr>
              <w:pStyle w:val="Body-Table-Note"/>
            </w:pPr>
            <w:r w:rsidRPr="00C36678">
              <w:t>DW = Data withheld to ensure confidentiality.</w:t>
            </w:r>
          </w:p>
        </w:tc>
      </w:tr>
    </w:tbl>
    <w:p w:rsidR="000126B0" w:rsidRPr="00C36678" w:rsidRDefault="000126B0" w:rsidP="00907B51">
      <w:pPr>
        <w:pStyle w:val="Body-Text"/>
      </w:pPr>
    </w:p>
    <w:p w:rsidR="000126B0" w:rsidRPr="00C36678" w:rsidRDefault="000126B0" w:rsidP="004D4B7E">
      <w:pPr>
        <w:pStyle w:val="TableCaption-AR"/>
      </w:pPr>
      <w:r w:rsidRPr="00C36678">
        <w:t>Table 5: Staff opinion survey</w:t>
      </w:r>
    </w:p>
    <w:tbl>
      <w:tblPr>
        <w:tblW w:w="9645" w:type="dxa"/>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6574"/>
        <w:gridCol w:w="1023"/>
        <w:gridCol w:w="1024"/>
        <w:gridCol w:w="1024"/>
      </w:tblGrid>
      <w:tr w:rsidR="000126B0" w:rsidRPr="00C36678" w:rsidTr="00AD614C">
        <w:trPr>
          <w:trHeight w:val="340"/>
          <w:tblHeader/>
        </w:trPr>
        <w:tc>
          <w:tcPr>
            <w:tcW w:w="6574" w:type="dxa"/>
            <w:shd w:val="clear" w:color="auto" w:fill="C1ECFF"/>
            <w:vAlign w:val="center"/>
          </w:tcPr>
          <w:p w:rsidR="000126B0" w:rsidRPr="00C36678" w:rsidRDefault="000126B0" w:rsidP="00F224E9">
            <w:pPr>
              <w:pStyle w:val="Body-Table-Heading"/>
            </w:pPr>
            <w:r w:rsidRPr="00C36678">
              <w:t>Percentage of school staff who agree</w:t>
            </w:r>
            <w:r w:rsidRPr="00C36678">
              <w:rPr>
                <w:vertAlign w:val="superscript"/>
              </w:rPr>
              <w:t>#</w:t>
            </w:r>
            <w:r w:rsidRPr="00C36678">
              <w:t xml:space="preserve"> that:</w:t>
            </w:r>
          </w:p>
        </w:tc>
        <w:tc>
          <w:tcPr>
            <w:tcW w:w="1023" w:type="dxa"/>
            <w:shd w:val="clear" w:color="auto" w:fill="C1ECFF"/>
            <w:vAlign w:val="center"/>
          </w:tcPr>
          <w:p w:rsidR="000126B0" w:rsidRPr="00C36678" w:rsidRDefault="000126B0" w:rsidP="00B81905">
            <w:pPr>
              <w:pStyle w:val="Body-Table-HeadingCentred"/>
            </w:pPr>
            <w:r w:rsidRPr="00C36678">
              <w:t>2016</w:t>
            </w:r>
          </w:p>
        </w:tc>
        <w:tc>
          <w:tcPr>
            <w:tcW w:w="1024" w:type="dxa"/>
            <w:shd w:val="clear" w:color="auto" w:fill="C1ECFF"/>
            <w:vAlign w:val="center"/>
          </w:tcPr>
          <w:p w:rsidR="000126B0" w:rsidRPr="00C36678" w:rsidRDefault="000126B0" w:rsidP="00B81905">
            <w:pPr>
              <w:pStyle w:val="Body-Table-HeadingCentred"/>
            </w:pPr>
            <w:r w:rsidRPr="00C36678">
              <w:t>2017</w:t>
            </w:r>
          </w:p>
        </w:tc>
        <w:tc>
          <w:tcPr>
            <w:tcW w:w="1024" w:type="dxa"/>
            <w:shd w:val="clear" w:color="auto" w:fill="C1ECFF"/>
            <w:vAlign w:val="center"/>
          </w:tcPr>
          <w:p w:rsidR="000126B0" w:rsidRPr="00C36678" w:rsidRDefault="000126B0" w:rsidP="00B81905">
            <w:pPr>
              <w:pStyle w:val="Body-Table-HeadingCentred"/>
            </w:pPr>
            <w:r w:rsidRPr="00C36678">
              <w:t>2018</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they enjoy working at their school (S2069)</w:t>
            </w:r>
          </w:p>
        </w:tc>
        <w:tc>
          <w:tcPr>
            <w:tcW w:w="1023" w:type="dxa"/>
            <w:shd w:val="clear" w:color="auto" w:fill="auto"/>
            <w:vAlign w:val="center"/>
          </w:tcPr>
          <w:p w:rsidR="000126B0" w:rsidRPr="00C36678" w:rsidRDefault="000126B0" w:rsidP="00016FE6">
            <w:pPr>
              <w:pStyle w:val="Body-Table-TextCentred"/>
            </w:pPr>
            <w:r w:rsidRPr="00211E08">
              <w:rPr>
                <w:noProof/>
              </w:rPr>
              <w:t>100%</w:t>
            </w:r>
          </w:p>
        </w:tc>
        <w:tc>
          <w:tcPr>
            <w:tcW w:w="1024" w:type="dxa"/>
            <w:shd w:val="clear" w:color="auto" w:fill="auto"/>
            <w:vAlign w:val="center"/>
          </w:tcPr>
          <w:p w:rsidR="000126B0" w:rsidRPr="00C36678" w:rsidRDefault="000126B0" w:rsidP="00016FE6">
            <w:pPr>
              <w:pStyle w:val="Body-Table-TextCentred"/>
            </w:pPr>
            <w:r w:rsidRPr="00211E08">
              <w:rPr>
                <w:noProof/>
              </w:rPr>
              <w:t>100%</w:t>
            </w:r>
          </w:p>
        </w:tc>
        <w:tc>
          <w:tcPr>
            <w:tcW w:w="1024" w:type="dxa"/>
            <w:shd w:val="clear" w:color="auto" w:fill="auto"/>
            <w:vAlign w:val="center"/>
          </w:tcPr>
          <w:p w:rsidR="000126B0" w:rsidRPr="00C36678" w:rsidRDefault="000126B0" w:rsidP="00016FE6">
            <w:pPr>
              <w:pStyle w:val="Body-Table-TextCentred"/>
            </w:pPr>
            <w:r w:rsidRPr="00211E08">
              <w:rPr>
                <w:noProof/>
              </w:rPr>
              <w:t>96%</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they feel that their school is a safe place in which to work (S2070)</w:t>
            </w:r>
          </w:p>
        </w:tc>
        <w:tc>
          <w:tcPr>
            <w:tcW w:w="1023" w:type="dxa"/>
            <w:shd w:val="clear" w:color="auto" w:fill="auto"/>
            <w:vAlign w:val="center"/>
          </w:tcPr>
          <w:p w:rsidR="000126B0" w:rsidRPr="00C36678" w:rsidRDefault="000126B0" w:rsidP="00016FE6">
            <w:pPr>
              <w:pStyle w:val="Body-Table-TextCentred"/>
            </w:pPr>
            <w:r w:rsidRPr="00211E08">
              <w:rPr>
                <w:noProof/>
              </w:rPr>
              <w:t>89%</w:t>
            </w:r>
          </w:p>
        </w:tc>
        <w:tc>
          <w:tcPr>
            <w:tcW w:w="1024" w:type="dxa"/>
            <w:shd w:val="clear" w:color="auto" w:fill="auto"/>
            <w:vAlign w:val="center"/>
          </w:tcPr>
          <w:p w:rsidR="000126B0" w:rsidRPr="00C36678" w:rsidRDefault="000126B0" w:rsidP="00016FE6">
            <w:pPr>
              <w:pStyle w:val="Body-Table-TextCentred"/>
            </w:pPr>
            <w:r w:rsidRPr="00211E08">
              <w:rPr>
                <w:noProof/>
              </w:rPr>
              <w:t>76%</w:t>
            </w:r>
          </w:p>
        </w:tc>
        <w:tc>
          <w:tcPr>
            <w:tcW w:w="1024" w:type="dxa"/>
            <w:shd w:val="clear" w:color="auto" w:fill="auto"/>
            <w:vAlign w:val="center"/>
          </w:tcPr>
          <w:p w:rsidR="000126B0" w:rsidRPr="00C36678" w:rsidRDefault="000126B0" w:rsidP="00016FE6">
            <w:pPr>
              <w:pStyle w:val="Body-Table-TextCentred"/>
            </w:pPr>
            <w:r w:rsidRPr="00211E08">
              <w:rPr>
                <w:noProof/>
              </w:rPr>
              <w:t>87%</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they receive useful feedback about their work at their school (S2071)</w:t>
            </w:r>
          </w:p>
        </w:tc>
        <w:tc>
          <w:tcPr>
            <w:tcW w:w="1023" w:type="dxa"/>
            <w:shd w:val="clear" w:color="auto" w:fill="auto"/>
            <w:vAlign w:val="center"/>
          </w:tcPr>
          <w:p w:rsidR="000126B0" w:rsidRPr="00C36678" w:rsidRDefault="000126B0" w:rsidP="00016FE6">
            <w:pPr>
              <w:pStyle w:val="Body-Table-TextCentred"/>
            </w:pPr>
            <w:r w:rsidRPr="00211E08">
              <w:rPr>
                <w:noProof/>
              </w:rPr>
              <w:t>91%</w:t>
            </w:r>
          </w:p>
        </w:tc>
        <w:tc>
          <w:tcPr>
            <w:tcW w:w="1024" w:type="dxa"/>
            <w:shd w:val="clear" w:color="auto" w:fill="auto"/>
            <w:vAlign w:val="center"/>
          </w:tcPr>
          <w:p w:rsidR="000126B0" w:rsidRPr="00C36678" w:rsidRDefault="000126B0" w:rsidP="00016FE6">
            <w:pPr>
              <w:pStyle w:val="Body-Table-TextCentred"/>
            </w:pPr>
            <w:r w:rsidRPr="00211E08">
              <w:rPr>
                <w:noProof/>
              </w:rPr>
              <w:t>90%</w:t>
            </w:r>
          </w:p>
        </w:tc>
        <w:tc>
          <w:tcPr>
            <w:tcW w:w="1024" w:type="dxa"/>
            <w:shd w:val="clear" w:color="auto" w:fill="auto"/>
            <w:vAlign w:val="center"/>
          </w:tcPr>
          <w:p w:rsidR="000126B0" w:rsidRPr="00C36678" w:rsidRDefault="000126B0" w:rsidP="00016FE6">
            <w:pPr>
              <w:pStyle w:val="Body-Table-TextCentred"/>
            </w:pPr>
            <w:r w:rsidRPr="00211E08">
              <w:rPr>
                <w:noProof/>
              </w:rPr>
              <w:t>83%</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they feel confident embedding Aboriginal and Torres Strait Islander perspectives across the learning areas (S2114)</w:t>
            </w:r>
          </w:p>
        </w:tc>
        <w:tc>
          <w:tcPr>
            <w:tcW w:w="1023" w:type="dxa"/>
            <w:shd w:val="clear" w:color="auto" w:fill="auto"/>
            <w:vAlign w:val="center"/>
          </w:tcPr>
          <w:p w:rsidR="000126B0" w:rsidRPr="00C36678" w:rsidRDefault="000126B0" w:rsidP="00016FE6">
            <w:pPr>
              <w:pStyle w:val="Body-Table-TextCentred"/>
            </w:pPr>
            <w:r w:rsidRPr="00211E08">
              <w:rPr>
                <w:noProof/>
              </w:rPr>
              <w:t>95%</w:t>
            </w:r>
          </w:p>
        </w:tc>
        <w:tc>
          <w:tcPr>
            <w:tcW w:w="1024" w:type="dxa"/>
            <w:shd w:val="clear" w:color="auto" w:fill="auto"/>
            <w:vAlign w:val="center"/>
          </w:tcPr>
          <w:p w:rsidR="000126B0" w:rsidRPr="00C36678" w:rsidRDefault="000126B0" w:rsidP="00016FE6">
            <w:pPr>
              <w:pStyle w:val="Body-Table-TextCentred"/>
            </w:pPr>
            <w:r w:rsidRPr="00211E08">
              <w:rPr>
                <w:noProof/>
              </w:rPr>
              <w:t>89%</w:t>
            </w:r>
          </w:p>
        </w:tc>
        <w:tc>
          <w:tcPr>
            <w:tcW w:w="1024" w:type="dxa"/>
            <w:shd w:val="clear" w:color="auto" w:fill="auto"/>
            <w:vAlign w:val="center"/>
          </w:tcPr>
          <w:p w:rsidR="000126B0" w:rsidRPr="00C36678" w:rsidRDefault="000126B0" w:rsidP="00016FE6">
            <w:pPr>
              <w:pStyle w:val="Body-Table-TextCentred"/>
            </w:pPr>
            <w:r w:rsidRPr="00211E08">
              <w:rPr>
                <w:noProof/>
              </w:rPr>
              <w:t>100%</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students are encouraged to do their best at their school (S2072)</w:t>
            </w:r>
          </w:p>
        </w:tc>
        <w:tc>
          <w:tcPr>
            <w:tcW w:w="1023" w:type="dxa"/>
            <w:shd w:val="clear" w:color="auto" w:fill="auto"/>
            <w:vAlign w:val="center"/>
          </w:tcPr>
          <w:p w:rsidR="000126B0" w:rsidRPr="00C36678" w:rsidRDefault="000126B0" w:rsidP="00016FE6">
            <w:pPr>
              <w:pStyle w:val="Body-Table-TextCentred"/>
            </w:pPr>
            <w:r w:rsidRPr="00211E08">
              <w:rPr>
                <w:noProof/>
              </w:rPr>
              <w:t>94%</w:t>
            </w:r>
          </w:p>
        </w:tc>
        <w:tc>
          <w:tcPr>
            <w:tcW w:w="1024" w:type="dxa"/>
            <w:shd w:val="clear" w:color="auto" w:fill="auto"/>
            <w:vAlign w:val="center"/>
          </w:tcPr>
          <w:p w:rsidR="000126B0" w:rsidRPr="00C36678" w:rsidRDefault="000126B0" w:rsidP="00016FE6">
            <w:pPr>
              <w:pStyle w:val="Body-Table-TextCentred"/>
            </w:pPr>
            <w:r w:rsidRPr="00211E08">
              <w:rPr>
                <w:noProof/>
              </w:rPr>
              <w:t>100%</w:t>
            </w:r>
          </w:p>
        </w:tc>
        <w:tc>
          <w:tcPr>
            <w:tcW w:w="1024" w:type="dxa"/>
            <w:shd w:val="clear" w:color="auto" w:fill="auto"/>
            <w:vAlign w:val="center"/>
          </w:tcPr>
          <w:p w:rsidR="000126B0" w:rsidRPr="00C36678" w:rsidRDefault="000126B0" w:rsidP="00016FE6">
            <w:pPr>
              <w:pStyle w:val="Body-Table-TextCentred"/>
            </w:pPr>
            <w:r w:rsidRPr="00211E08">
              <w:rPr>
                <w:noProof/>
              </w:rPr>
              <w:t>100%</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students are treated fairly at their school (S2073)</w:t>
            </w:r>
          </w:p>
        </w:tc>
        <w:tc>
          <w:tcPr>
            <w:tcW w:w="1023" w:type="dxa"/>
            <w:shd w:val="clear" w:color="auto" w:fill="auto"/>
            <w:vAlign w:val="center"/>
          </w:tcPr>
          <w:p w:rsidR="000126B0" w:rsidRPr="00C36678" w:rsidRDefault="000126B0" w:rsidP="00016FE6">
            <w:pPr>
              <w:pStyle w:val="Body-Table-TextCentred"/>
            </w:pPr>
            <w:r w:rsidRPr="00211E08">
              <w:rPr>
                <w:noProof/>
              </w:rPr>
              <w:t>91%</w:t>
            </w:r>
          </w:p>
        </w:tc>
        <w:tc>
          <w:tcPr>
            <w:tcW w:w="1024" w:type="dxa"/>
            <w:shd w:val="clear" w:color="auto" w:fill="auto"/>
            <w:vAlign w:val="center"/>
          </w:tcPr>
          <w:p w:rsidR="000126B0" w:rsidRPr="00C36678" w:rsidRDefault="000126B0" w:rsidP="00016FE6">
            <w:pPr>
              <w:pStyle w:val="Body-Table-TextCentred"/>
            </w:pPr>
            <w:r w:rsidRPr="00211E08">
              <w:rPr>
                <w:noProof/>
              </w:rPr>
              <w:t>100%</w:t>
            </w:r>
          </w:p>
        </w:tc>
        <w:tc>
          <w:tcPr>
            <w:tcW w:w="1024" w:type="dxa"/>
            <w:shd w:val="clear" w:color="auto" w:fill="auto"/>
            <w:vAlign w:val="center"/>
          </w:tcPr>
          <w:p w:rsidR="000126B0" w:rsidRPr="00C36678" w:rsidRDefault="000126B0" w:rsidP="00016FE6">
            <w:pPr>
              <w:pStyle w:val="Body-Table-TextCentred"/>
            </w:pPr>
            <w:r w:rsidRPr="00211E08">
              <w:rPr>
                <w:noProof/>
              </w:rPr>
              <w:t>100%</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student behaviour is well managed at their school (S2074)</w:t>
            </w:r>
          </w:p>
        </w:tc>
        <w:tc>
          <w:tcPr>
            <w:tcW w:w="1023" w:type="dxa"/>
            <w:shd w:val="clear" w:color="auto" w:fill="auto"/>
            <w:vAlign w:val="center"/>
          </w:tcPr>
          <w:p w:rsidR="000126B0" w:rsidRPr="00C36678" w:rsidRDefault="000126B0" w:rsidP="00016FE6">
            <w:pPr>
              <w:pStyle w:val="Body-Table-TextCentred"/>
            </w:pPr>
            <w:r w:rsidRPr="00211E08">
              <w:rPr>
                <w:noProof/>
              </w:rPr>
              <w:t>89%</w:t>
            </w:r>
          </w:p>
        </w:tc>
        <w:tc>
          <w:tcPr>
            <w:tcW w:w="1024" w:type="dxa"/>
            <w:shd w:val="clear" w:color="auto" w:fill="auto"/>
            <w:vAlign w:val="center"/>
          </w:tcPr>
          <w:p w:rsidR="000126B0" w:rsidRPr="00C36678" w:rsidRDefault="000126B0" w:rsidP="00016FE6">
            <w:pPr>
              <w:pStyle w:val="Body-Table-TextCentred"/>
            </w:pPr>
            <w:r w:rsidRPr="00211E08">
              <w:rPr>
                <w:noProof/>
              </w:rPr>
              <w:t>90%</w:t>
            </w:r>
          </w:p>
        </w:tc>
        <w:tc>
          <w:tcPr>
            <w:tcW w:w="1024" w:type="dxa"/>
            <w:shd w:val="clear" w:color="auto" w:fill="auto"/>
            <w:vAlign w:val="center"/>
          </w:tcPr>
          <w:p w:rsidR="000126B0" w:rsidRPr="00C36678" w:rsidRDefault="000126B0" w:rsidP="00016FE6">
            <w:pPr>
              <w:pStyle w:val="Body-Table-TextCentred"/>
            </w:pPr>
            <w:r w:rsidRPr="00211E08">
              <w:rPr>
                <w:noProof/>
              </w:rPr>
              <w:t>100%</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staff are well supported at their school (S2075)</w:t>
            </w:r>
          </w:p>
        </w:tc>
        <w:tc>
          <w:tcPr>
            <w:tcW w:w="1023" w:type="dxa"/>
            <w:shd w:val="clear" w:color="auto" w:fill="auto"/>
            <w:vAlign w:val="center"/>
          </w:tcPr>
          <w:p w:rsidR="000126B0" w:rsidRPr="00C36678" w:rsidRDefault="000126B0" w:rsidP="00016FE6">
            <w:pPr>
              <w:pStyle w:val="Body-Table-TextCentred"/>
            </w:pPr>
            <w:r w:rsidRPr="00211E08">
              <w:rPr>
                <w:noProof/>
              </w:rPr>
              <w:t>89%</w:t>
            </w:r>
          </w:p>
        </w:tc>
        <w:tc>
          <w:tcPr>
            <w:tcW w:w="1024" w:type="dxa"/>
            <w:shd w:val="clear" w:color="auto" w:fill="auto"/>
            <w:vAlign w:val="center"/>
          </w:tcPr>
          <w:p w:rsidR="000126B0" w:rsidRPr="00C36678" w:rsidRDefault="000126B0" w:rsidP="00016FE6">
            <w:pPr>
              <w:pStyle w:val="Body-Table-TextCentred"/>
            </w:pPr>
            <w:r w:rsidRPr="00211E08">
              <w:rPr>
                <w:noProof/>
              </w:rPr>
              <w:t>95%</w:t>
            </w:r>
          </w:p>
        </w:tc>
        <w:tc>
          <w:tcPr>
            <w:tcW w:w="1024" w:type="dxa"/>
            <w:shd w:val="clear" w:color="auto" w:fill="auto"/>
            <w:vAlign w:val="center"/>
          </w:tcPr>
          <w:p w:rsidR="000126B0" w:rsidRPr="00C36678" w:rsidRDefault="000126B0" w:rsidP="00016FE6">
            <w:pPr>
              <w:pStyle w:val="Body-Table-TextCentred"/>
            </w:pPr>
            <w:r w:rsidRPr="00211E08">
              <w:rPr>
                <w:noProof/>
              </w:rPr>
              <w:t>96%</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their school takes staff opinions seriously (S2076)</w:t>
            </w:r>
          </w:p>
        </w:tc>
        <w:tc>
          <w:tcPr>
            <w:tcW w:w="1023" w:type="dxa"/>
            <w:shd w:val="clear" w:color="auto" w:fill="auto"/>
            <w:vAlign w:val="center"/>
          </w:tcPr>
          <w:p w:rsidR="000126B0" w:rsidRPr="00C36678" w:rsidRDefault="000126B0" w:rsidP="00016FE6">
            <w:pPr>
              <w:pStyle w:val="Body-Table-TextCentred"/>
            </w:pPr>
            <w:r w:rsidRPr="00211E08">
              <w:rPr>
                <w:noProof/>
              </w:rPr>
              <w:t>79%</w:t>
            </w:r>
          </w:p>
        </w:tc>
        <w:tc>
          <w:tcPr>
            <w:tcW w:w="1024" w:type="dxa"/>
            <w:shd w:val="clear" w:color="auto" w:fill="auto"/>
            <w:vAlign w:val="center"/>
          </w:tcPr>
          <w:p w:rsidR="000126B0" w:rsidRPr="00C36678" w:rsidRDefault="000126B0" w:rsidP="00016FE6">
            <w:pPr>
              <w:pStyle w:val="Body-Table-TextCentred"/>
            </w:pPr>
            <w:r w:rsidRPr="00211E08">
              <w:rPr>
                <w:noProof/>
              </w:rPr>
              <w:t>86%</w:t>
            </w:r>
          </w:p>
        </w:tc>
        <w:tc>
          <w:tcPr>
            <w:tcW w:w="1024" w:type="dxa"/>
            <w:shd w:val="clear" w:color="auto" w:fill="auto"/>
            <w:vAlign w:val="center"/>
          </w:tcPr>
          <w:p w:rsidR="000126B0" w:rsidRPr="00C36678" w:rsidRDefault="000126B0" w:rsidP="00016FE6">
            <w:pPr>
              <w:pStyle w:val="Body-Table-TextCentred"/>
            </w:pPr>
            <w:r w:rsidRPr="00211E08">
              <w:rPr>
                <w:noProof/>
              </w:rPr>
              <w:t>95%</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their school looks for ways to improve (S2077)</w:t>
            </w:r>
          </w:p>
        </w:tc>
        <w:tc>
          <w:tcPr>
            <w:tcW w:w="1023" w:type="dxa"/>
            <w:shd w:val="clear" w:color="auto" w:fill="auto"/>
            <w:vAlign w:val="center"/>
          </w:tcPr>
          <w:p w:rsidR="000126B0" w:rsidRPr="00C36678" w:rsidRDefault="000126B0" w:rsidP="00016FE6">
            <w:pPr>
              <w:pStyle w:val="Body-Table-TextCentred"/>
            </w:pPr>
            <w:r w:rsidRPr="00211E08">
              <w:rPr>
                <w:noProof/>
              </w:rPr>
              <w:t>100%</w:t>
            </w:r>
          </w:p>
        </w:tc>
        <w:tc>
          <w:tcPr>
            <w:tcW w:w="1024" w:type="dxa"/>
            <w:shd w:val="clear" w:color="auto" w:fill="auto"/>
            <w:vAlign w:val="center"/>
          </w:tcPr>
          <w:p w:rsidR="000126B0" w:rsidRPr="00C36678" w:rsidRDefault="000126B0" w:rsidP="00016FE6">
            <w:pPr>
              <w:pStyle w:val="Body-Table-TextCentred"/>
            </w:pPr>
            <w:r w:rsidRPr="00211E08">
              <w:rPr>
                <w:noProof/>
              </w:rPr>
              <w:t>100%</w:t>
            </w:r>
          </w:p>
        </w:tc>
        <w:tc>
          <w:tcPr>
            <w:tcW w:w="1024" w:type="dxa"/>
            <w:shd w:val="clear" w:color="auto" w:fill="auto"/>
            <w:vAlign w:val="center"/>
          </w:tcPr>
          <w:p w:rsidR="000126B0" w:rsidRPr="00C36678" w:rsidRDefault="000126B0" w:rsidP="00016FE6">
            <w:pPr>
              <w:pStyle w:val="Body-Table-TextCentred"/>
            </w:pPr>
            <w:r w:rsidRPr="00211E08">
              <w:rPr>
                <w:noProof/>
              </w:rPr>
              <w:t>100%</w:t>
            </w:r>
          </w:p>
        </w:tc>
      </w:tr>
      <w:tr w:rsidR="000126B0" w:rsidRPr="00C36678" w:rsidTr="00AD614C">
        <w:trPr>
          <w:trHeight w:val="340"/>
        </w:trPr>
        <w:tc>
          <w:tcPr>
            <w:tcW w:w="6574" w:type="dxa"/>
            <w:shd w:val="clear" w:color="auto" w:fill="auto"/>
            <w:vAlign w:val="center"/>
          </w:tcPr>
          <w:p w:rsidR="000126B0" w:rsidRPr="00C36678" w:rsidRDefault="000126B0" w:rsidP="005C58D0">
            <w:pPr>
              <w:pStyle w:val="Body-Table-Bullet"/>
              <w:rPr>
                <w:rFonts w:eastAsia="Meiryo"/>
              </w:rPr>
            </w:pPr>
            <w:r w:rsidRPr="00C36678">
              <w:rPr>
                <w:rFonts w:eastAsia="Meiryo"/>
              </w:rPr>
              <w:t>their school is well maintained (S2078)</w:t>
            </w:r>
          </w:p>
        </w:tc>
        <w:tc>
          <w:tcPr>
            <w:tcW w:w="1023" w:type="dxa"/>
            <w:shd w:val="clear" w:color="auto" w:fill="auto"/>
            <w:vAlign w:val="center"/>
          </w:tcPr>
          <w:p w:rsidR="000126B0" w:rsidRPr="00C36678" w:rsidRDefault="000126B0" w:rsidP="00016FE6">
            <w:pPr>
              <w:pStyle w:val="Body-Table-TextCentred"/>
            </w:pPr>
            <w:r w:rsidRPr="00211E08">
              <w:rPr>
                <w:noProof/>
              </w:rPr>
              <w:t>97%</w:t>
            </w:r>
          </w:p>
        </w:tc>
        <w:tc>
          <w:tcPr>
            <w:tcW w:w="1024" w:type="dxa"/>
            <w:shd w:val="clear" w:color="auto" w:fill="auto"/>
            <w:vAlign w:val="center"/>
          </w:tcPr>
          <w:p w:rsidR="000126B0" w:rsidRPr="00C36678" w:rsidRDefault="000126B0" w:rsidP="00016FE6">
            <w:pPr>
              <w:pStyle w:val="Body-Table-TextCentred"/>
            </w:pPr>
            <w:r w:rsidRPr="00211E08">
              <w:rPr>
                <w:noProof/>
              </w:rPr>
              <w:t>95%</w:t>
            </w:r>
          </w:p>
        </w:tc>
        <w:tc>
          <w:tcPr>
            <w:tcW w:w="1024" w:type="dxa"/>
            <w:shd w:val="clear" w:color="auto" w:fill="auto"/>
            <w:vAlign w:val="center"/>
          </w:tcPr>
          <w:p w:rsidR="000126B0" w:rsidRPr="00C36678" w:rsidRDefault="000126B0" w:rsidP="00016FE6">
            <w:pPr>
              <w:pStyle w:val="Body-Table-TextCentred"/>
            </w:pPr>
            <w:r w:rsidRPr="00211E08">
              <w:rPr>
                <w:noProof/>
              </w:rPr>
              <w:t>96%</w:t>
            </w:r>
          </w:p>
        </w:tc>
      </w:tr>
      <w:tr w:rsidR="000126B0" w:rsidRPr="00C36678" w:rsidTr="00AD614C">
        <w:trPr>
          <w:trHeight w:val="340"/>
        </w:trPr>
        <w:tc>
          <w:tcPr>
            <w:tcW w:w="6574" w:type="dxa"/>
            <w:tcBorders>
              <w:bottom w:val="single" w:sz="4" w:space="0" w:color="808080"/>
            </w:tcBorders>
            <w:shd w:val="clear" w:color="auto" w:fill="auto"/>
            <w:vAlign w:val="center"/>
          </w:tcPr>
          <w:p w:rsidR="000126B0" w:rsidRPr="00C36678" w:rsidRDefault="000126B0" w:rsidP="005C58D0">
            <w:pPr>
              <w:pStyle w:val="Body-Table-Bullet"/>
              <w:rPr>
                <w:rFonts w:eastAsia="Meiryo"/>
              </w:rPr>
            </w:pPr>
            <w:r w:rsidRPr="00C36678">
              <w:rPr>
                <w:rFonts w:eastAsia="Meiryo"/>
              </w:rPr>
              <w:t>their school gives them opportunities to do interesting things (S2079)</w:t>
            </w:r>
          </w:p>
        </w:tc>
        <w:tc>
          <w:tcPr>
            <w:tcW w:w="1023" w:type="dxa"/>
            <w:tcBorders>
              <w:bottom w:val="single" w:sz="4" w:space="0" w:color="808080"/>
            </w:tcBorders>
            <w:shd w:val="clear" w:color="auto" w:fill="auto"/>
            <w:vAlign w:val="center"/>
          </w:tcPr>
          <w:p w:rsidR="000126B0" w:rsidRPr="00C36678" w:rsidRDefault="000126B0" w:rsidP="00016FE6">
            <w:pPr>
              <w:pStyle w:val="Body-Table-TextCentred"/>
            </w:pPr>
            <w:r w:rsidRPr="00211E08">
              <w:rPr>
                <w:noProof/>
              </w:rPr>
              <w:t>94%</w:t>
            </w:r>
          </w:p>
        </w:tc>
        <w:tc>
          <w:tcPr>
            <w:tcW w:w="1024" w:type="dxa"/>
            <w:tcBorders>
              <w:bottom w:val="single" w:sz="4" w:space="0" w:color="808080"/>
            </w:tcBorders>
            <w:shd w:val="clear" w:color="auto" w:fill="auto"/>
            <w:vAlign w:val="center"/>
          </w:tcPr>
          <w:p w:rsidR="000126B0" w:rsidRPr="00C36678" w:rsidRDefault="000126B0" w:rsidP="00016FE6">
            <w:pPr>
              <w:pStyle w:val="Body-Table-TextCentred"/>
            </w:pPr>
            <w:r w:rsidRPr="00211E08">
              <w:rPr>
                <w:noProof/>
              </w:rPr>
              <w:t>90%</w:t>
            </w:r>
          </w:p>
        </w:tc>
        <w:tc>
          <w:tcPr>
            <w:tcW w:w="1024" w:type="dxa"/>
            <w:tcBorders>
              <w:bottom w:val="single" w:sz="4" w:space="0" w:color="808080"/>
            </w:tcBorders>
            <w:shd w:val="clear" w:color="auto" w:fill="auto"/>
            <w:vAlign w:val="center"/>
          </w:tcPr>
          <w:p w:rsidR="000126B0" w:rsidRPr="00C36678" w:rsidRDefault="000126B0" w:rsidP="00016FE6">
            <w:pPr>
              <w:pStyle w:val="Body-Table-TextCentred"/>
            </w:pPr>
            <w:r w:rsidRPr="00211E08">
              <w:rPr>
                <w:noProof/>
              </w:rPr>
              <w:t>96%</w:t>
            </w:r>
          </w:p>
        </w:tc>
      </w:tr>
      <w:tr w:rsidR="000126B0" w:rsidRPr="00C36678" w:rsidTr="00AD614C">
        <w:trPr>
          <w:trHeight w:val="340"/>
        </w:trPr>
        <w:tc>
          <w:tcPr>
            <w:tcW w:w="9645" w:type="dxa"/>
            <w:gridSpan w:val="4"/>
            <w:tcBorders>
              <w:left w:val="nil"/>
              <w:bottom w:val="nil"/>
              <w:right w:val="nil"/>
            </w:tcBorders>
            <w:shd w:val="clear" w:color="auto" w:fill="auto"/>
            <w:vAlign w:val="center"/>
          </w:tcPr>
          <w:p w:rsidR="000126B0" w:rsidRPr="00C36678" w:rsidRDefault="000126B0" w:rsidP="00C211B7">
            <w:pPr>
              <w:pStyle w:val="Body-Table-Note"/>
            </w:pPr>
            <w:r w:rsidRPr="00C36678">
              <w:t>* Nationally agreed student and parent/caregiver items.</w:t>
            </w:r>
          </w:p>
          <w:p w:rsidR="000126B0" w:rsidRPr="00C36678" w:rsidRDefault="000126B0" w:rsidP="00C211B7">
            <w:pPr>
              <w:pStyle w:val="Body-Table-Note"/>
            </w:pPr>
            <w:r w:rsidRPr="00C36678">
              <w:lastRenderedPageBreak/>
              <w:t># ‘Agree’ represents the percentage of respondents who Somewhat Agree, Agree or Strongly Agree with the statement.</w:t>
            </w:r>
          </w:p>
          <w:p w:rsidR="000126B0" w:rsidRPr="00C36678" w:rsidRDefault="000126B0" w:rsidP="00BB159F">
            <w:pPr>
              <w:pStyle w:val="Body-Table-Note"/>
            </w:pPr>
            <w:r w:rsidRPr="00C36678">
              <w:t>DW = Data withheld to ensure confidentiality.</w:t>
            </w:r>
          </w:p>
        </w:tc>
      </w:tr>
    </w:tbl>
    <w:p w:rsidR="000126B0" w:rsidRPr="00C36678" w:rsidRDefault="000126B0" w:rsidP="00D202D9">
      <w:pPr>
        <w:pStyle w:val="Body-Text"/>
      </w:pPr>
    </w:p>
    <w:p w:rsidR="000126B0" w:rsidRPr="00C36678" w:rsidRDefault="000126B0" w:rsidP="00A954D3">
      <w:pPr>
        <w:pStyle w:val="Body-Text-Smallspace"/>
      </w:pPr>
    </w:p>
    <w:p w:rsidR="000126B0" w:rsidRPr="00C36678" w:rsidRDefault="000126B0" w:rsidP="00FF0E8B">
      <w:pPr>
        <w:pStyle w:val="Heading3-AR"/>
      </w:pPr>
      <w:r w:rsidRPr="00C36678">
        <w:t>Parent and community engagement</w:t>
      </w:r>
    </w:p>
    <w:p w:rsidR="001C7D60" w:rsidRPr="001C7D60" w:rsidRDefault="001C7D60" w:rsidP="001C7D60">
      <w:pPr>
        <w:autoSpaceDE w:val="0"/>
        <w:autoSpaceDN w:val="0"/>
        <w:adjustRightInd w:val="0"/>
        <w:jc w:val="both"/>
        <w:rPr>
          <w:rFonts w:eastAsia="SimSun" w:cs="Times New Roman"/>
          <w:bCs w:val="0"/>
          <w:szCs w:val="19"/>
          <w:lang w:val="en-US"/>
        </w:rPr>
      </w:pPr>
      <w:r w:rsidRPr="001C7D60">
        <w:rPr>
          <w:rFonts w:eastAsia="SimSun" w:cs="Times New Roman"/>
          <w:bCs w:val="0"/>
          <w:szCs w:val="19"/>
          <w:lang w:val="en-US"/>
        </w:rPr>
        <w:t>P</w:t>
      </w:r>
      <w:r w:rsidRPr="00221616">
        <w:rPr>
          <w:rFonts w:eastAsia="SimSun" w:cs="Times New Roman"/>
          <w:bCs w:val="0"/>
          <w:szCs w:val="19"/>
          <w:lang w:val="en-US"/>
        </w:rPr>
        <w:t>arents and c</w:t>
      </w:r>
      <w:r w:rsidRPr="001C7D60">
        <w:rPr>
          <w:rFonts w:eastAsia="SimSun" w:cs="Times New Roman"/>
          <w:bCs w:val="0"/>
          <w:szCs w:val="19"/>
          <w:lang w:val="en-US"/>
        </w:rPr>
        <w:t>arers had the opportunity to attend an information evening to hear about the school and what it has to offer, and to meet their child’s teacher early in Term One</w:t>
      </w:r>
      <w:r w:rsidRPr="00221616">
        <w:rPr>
          <w:rFonts w:eastAsia="SimSun" w:cs="Times New Roman"/>
          <w:bCs w:val="0"/>
          <w:szCs w:val="19"/>
          <w:lang w:val="en-US"/>
        </w:rPr>
        <w:t xml:space="preserve"> 2018</w:t>
      </w:r>
      <w:r w:rsidRPr="001C7D60">
        <w:rPr>
          <w:rFonts w:eastAsia="SimSun" w:cs="Times New Roman"/>
          <w:bCs w:val="0"/>
          <w:szCs w:val="19"/>
          <w:lang w:val="en-US"/>
        </w:rPr>
        <w:t xml:space="preserve">.  </w:t>
      </w:r>
      <w:r w:rsidRPr="00221616">
        <w:rPr>
          <w:rFonts w:eastAsia="SimSun" w:cs="Times New Roman"/>
          <w:bCs w:val="0"/>
          <w:szCs w:val="19"/>
          <w:lang w:val="en-US"/>
        </w:rPr>
        <w:t>The</w:t>
      </w:r>
      <w:r w:rsidRPr="001C7D60">
        <w:rPr>
          <w:rFonts w:eastAsia="SimSun" w:cs="Times New Roman"/>
          <w:bCs w:val="0"/>
          <w:szCs w:val="19"/>
          <w:lang w:val="en-US"/>
        </w:rPr>
        <w:t xml:space="preserve"> </w:t>
      </w:r>
      <w:r w:rsidRPr="00221616">
        <w:rPr>
          <w:rFonts w:eastAsia="SimSun" w:cs="Times New Roman"/>
          <w:bCs w:val="0"/>
          <w:szCs w:val="19"/>
          <w:lang w:val="en-US"/>
        </w:rPr>
        <w:t>arrangement and organization of</w:t>
      </w:r>
      <w:r w:rsidRPr="001C7D60">
        <w:rPr>
          <w:rFonts w:eastAsia="SimSun" w:cs="Times New Roman"/>
          <w:bCs w:val="0"/>
          <w:szCs w:val="19"/>
          <w:lang w:val="en-US"/>
        </w:rPr>
        <w:t xml:space="preserve"> Student Plan meeting</w:t>
      </w:r>
      <w:r w:rsidRPr="00221616">
        <w:rPr>
          <w:rFonts w:eastAsia="SimSun" w:cs="Times New Roman"/>
          <w:bCs w:val="0"/>
          <w:szCs w:val="19"/>
          <w:lang w:val="en-US"/>
        </w:rPr>
        <w:t>s</w:t>
      </w:r>
      <w:r w:rsidRPr="001C7D60">
        <w:rPr>
          <w:rFonts w:eastAsia="SimSun" w:cs="Times New Roman"/>
          <w:bCs w:val="0"/>
          <w:szCs w:val="19"/>
          <w:lang w:val="en-US"/>
        </w:rPr>
        <w:t xml:space="preserve">, continued with a full year of rollout.  Parents of students in Year 7 to 10 had meetings with parents/carers and other stakeholders at the end of Term Two and Term Four.  Together stakeholders and teachers collaborated about the child’s educational plan.  As well as discussing progress for the last semester, stakeholders were fully informed about where their child engaged in curriculum, what literacy and mathematic expectations were being considered, and what evidence of learning had been collected.    </w:t>
      </w:r>
    </w:p>
    <w:p w:rsidR="001C7D60" w:rsidRPr="001C7D60" w:rsidRDefault="001C7D60" w:rsidP="001C7D60">
      <w:pPr>
        <w:autoSpaceDE w:val="0"/>
        <w:autoSpaceDN w:val="0"/>
        <w:adjustRightInd w:val="0"/>
        <w:jc w:val="both"/>
        <w:rPr>
          <w:rFonts w:eastAsia="SimSun" w:cs="Times New Roman"/>
          <w:bCs w:val="0"/>
          <w:szCs w:val="19"/>
          <w:lang w:val="en-US"/>
        </w:rPr>
      </w:pPr>
      <w:r w:rsidRPr="001C7D60">
        <w:rPr>
          <w:rFonts w:eastAsia="SimSun" w:cs="Times New Roman"/>
          <w:bCs w:val="0"/>
          <w:szCs w:val="19"/>
          <w:lang w:val="en-US"/>
        </w:rPr>
        <w:t xml:space="preserve">Parents of students in the senior secondary phase of schooling had the opportunity to participate in a PATH (Planning Alternate Tomorrows with Hope) meeting with their child, community and school representatives. This planning outlined the goals for the last two years of schooling and what meaningful communities their child may engage with post-school.   </w:t>
      </w:r>
    </w:p>
    <w:p w:rsidR="001C7D60" w:rsidRPr="001C7D60" w:rsidRDefault="001C7D60" w:rsidP="001C7D60">
      <w:pPr>
        <w:autoSpaceDE w:val="0"/>
        <w:autoSpaceDN w:val="0"/>
        <w:adjustRightInd w:val="0"/>
        <w:jc w:val="both"/>
        <w:rPr>
          <w:rFonts w:eastAsia="SimSun" w:cs="Times New Roman"/>
          <w:bCs w:val="0"/>
          <w:szCs w:val="19"/>
          <w:lang w:val="en-US"/>
        </w:rPr>
      </w:pPr>
      <w:r w:rsidRPr="001C7D60">
        <w:rPr>
          <w:rFonts w:eastAsia="SimSun" w:cs="Times New Roman"/>
          <w:bCs w:val="0"/>
          <w:szCs w:val="19"/>
          <w:lang w:val="en-US"/>
        </w:rPr>
        <w:t>The National Disability Insurance Scheme was in full</w:t>
      </w:r>
      <w:r w:rsidRPr="00221616">
        <w:rPr>
          <w:rFonts w:eastAsia="SimSun" w:cs="Times New Roman"/>
          <w:bCs w:val="0"/>
          <w:szCs w:val="19"/>
          <w:lang w:val="en-US"/>
        </w:rPr>
        <w:t xml:space="preserve"> swing in 2018</w:t>
      </w:r>
      <w:r w:rsidRPr="001C7D60">
        <w:rPr>
          <w:rFonts w:eastAsia="SimSun" w:cs="Times New Roman"/>
          <w:bCs w:val="0"/>
          <w:szCs w:val="19"/>
          <w:lang w:val="en-US"/>
        </w:rPr>
        <w:t xml:space="preserve">.  Clifford Park engages a staff member to work with, and advocate for our community, to fully explore how the NDIS can support families.  She worked closely with our Local Area Consultant (LAC) to assist  parents to make informed decisions regarding planning for their child engaging within the NDIA framework to receive post school assistance.  Excellent outcomes were achieved during this process, with most parents contacting the NDIS, and receiving substantial assistance from NDIS post school.  Parents/carers of younger students who are not school leavers, were also able to engage in many informal discussions, meetings and supported workshops at school to discuss their NDIS plan and to receive the best advocacy possible from our school. </w:t>
      </w:r>
    </w:p>
    <w:p w:rsidR="001C7D60" w:rsidRPr="001C7D60" w:rsidRDefault="001C7D60" w:rsidP="001C7D60">
      <w:pPr>
        <w:autoSpaceDE w:val="0"/>
        <w:autoSpaceDN w:val="0"/>
        <w:adjustRightInd w:val="0"/>
        <w:jc w:val="both"/>
        <w:rPr>
          <w:rFonts w:eastAsia="SimSun" w:cs="Times New Roman"/>
          <w:bCs w:val="0"/>
          <w:szCs w:val="19"/>
          <w:lang w:val="en-US"/>
        </w:rPr>
      </w:pPr>
      <w:r w:rsidRPr="001C7D60">
        <w:rPr>
          <w:rFonts w:eastAsia="SimSun" w:cs="Times New Roman"/>
          <w:bCs w:val="0"/>
          <w:szCs w:val="19"/>
          <w:lang w:val="en-US"/>
        </w:rPr>
        <w:t>The school encouraged open communication systems between teachers and parents/carers.  Most students have a communication book, or teachers have email contact with parents.  In addition, our community receives E-newsletters supported by other systems, such as Info-N</w:t>
      </w:r>
      <w:r w:rsidRPr="00221616">
        <w:rPr>
          <w:rFonts w:eastAsia="SimSun" w:cs="Times New Roman"/>
          <w:bCs w:val="0"/>
          <w:szCs w:val="19"/>
          <w:lang w:val="en-US"/>
        </w:rPr>
        <w:t xml:space="preserve">ews and are able to engage </w:t>
      </w:r>
      <w:r w:rsidRPr="001C7D60">
        <w:rPr>
          <w:rFonts w:eastAsia="SimSun" w:cs="Times New Roman"/>
          <w:bCs w:val="0"/>
          <w:szCs w:val="19"/>
          <w:lang w:val="en-US"/>
        </w:rPr>
        <w:t>in  the Clifford Park Special School website.  Our new Fa</w:t>
      </w:r>
      <w:r w:rsidRPr="00221616">
        <w:rPr>
          <w:rFonts w:eastAsia="SimSun" w:cs="Times New Roman"/>
          <w:bCs w:val="0"/>
          <w:szCs w:val="19"/>
          <w:lang w:val="en-US"/>
        </w:rPr>
        <w:t>ceBook site, which was launched in 2017, has excellent engagement from the school and wider community.</w:t>
      </w:r>
      <w:r w:rsidRPr="001C7D60">
        <w:rPr>
          <w:rFonts w:eastAsia="SimSun" w:cs="Times New Roman"/>
          <w:bCs w:val="0"/>
          <w:szCs w:val="19"/>
          <w:lang w:val="en-US"/>
        </w:rPr>
        <w:t xml:space="preserve">  This had been a very welcome and successful addition to our communication structures. </w:t>
      </w:r>
    </w:p>
    <w:p w:rsidR="001C7D60" w:rsidRPr="001C7D60" w:rsidRDefault="001C7D60" w:rsidP="001C7D60">
      <w:pPr>
        <w:autoSpaceDE w:val="0"/>
        <w:autoSpaceDN w:val="0"/>
        <w:adjustRightInd w:val="0"/>
        <w:jc w:val="both"/>
        <w:rPr>
          <w:rFonts w:eastAsia="SimSun" w:cs="Times New Roman"/>
          <w:bCs w:val="0"/>
          <w:szCs w:val="19"/>
          <w:lang w:val="en-US"/>
        </w:rPr>
      </w:pPr>
      <w:r w:rsidRPr="001C7D60">
        <w:rPr>
          <w:rFonts w:eastAsia="SimSun" w:cs="Times New Roman"/>
          <w:bCs w:val="0"/>
          <w:szCs w:val="19"/>
          <w:lang w:val="en-US"/>
        </w:rPr>
        <w:t>The school had strong and ever-expanding links wit</w:t>
      </w:r>
      <w:r w:rsidR="000F3EFD">
        <w:rPr>
          <w:rFonts w:eastAsia="SimSun" w:cs="Times New Roman"/>
          <w:bCs w:val="0"/>
          <w:szCs w:val="19"/>
          <w:lang w:val="en-US"/>
        </w:rPr>
        <w:t xml:space="preserve">h the community during </w:t>
      </w:r>
      <w:r w:rsidRPr="00221616">
        <w:rPr>
          <w:rFonts w:eastAsia="SimSun" w:cs="Times New Roman"/>
          <w:bCs w:val="0"/>
          <w:szCs w:val="19"/>
          <w:lang w:val="en-US"/>
        </w:rPr>
        <w:t>2018</w:t>
      </w:r>
      <w:r w:rsidRPr="001C7D60">
        <w:rPr>
          <w:rFonts w:eastAsia="SimSun" w:cs="Times New Roman"/>
          <w:bCs w:val="0"/>
          <w:szCs w:val="19"/>
          <w:lang w:val="en-US"/>
        </w:rPr>
        <w:t xml:space="preserve">.   As well as engaging strongly with the business community through work, trainee opportunities and volunteer placements, we had a strong relationship with RTOs such as Rural Australia and Downs Group Training.   </w:t>
      </w:r>
      <w:r w:rsidRPr="00221616">
        <w:rPr>
          <w:rFonts w:eastAsia="SimSun" w:cs="Times New Roman"/>
          <w:bCs w:val="0"/>
          <w:szCs w:val="19"/>
          <w:lang w:val="en-US"/>
        </w:rPr>
        <w:t>In 2018</w:t>
      </w:r>
      <w:r w:rsidRPr="001C7D60">
        <w:rPr>
          <w:rFonts w:eastAsia="SimSun" w:cs="Times New Roman"/>
          <w:bCs w:val="0"/>
          <w:szCs w:val="19"/>
          <w:lang w:val="en-US"/>
        </w:rPr>
        <w:t xml:space="preserve">, students from another high school in our local community, with the support of an RTO, completed a Certificate course on our school grounds.   </w:t>
      </w:r>
    </w:p>
    <w:p w:rsidR="001C7D60" w:rsidRPr="001C7D60" w:rsidRDefault="001C7D60" w:rsidP="001C7D60">
      <w:pPr>
        <w:autoSpaceDE w:val="0"/>
        <w:autoSpaceDN w:val="0"/>
        <w:adjustRightInd w:val="0"/>
        <w:jc w:val="both"/>
        <w:rPr>
          <w:rFonts w:eastAsia="SimSun" w:cs="Times New Roman"/>
          <w:bCs w:val="0"/>
          <w:szCs w:val="19"/>
          <w:lang w:val="en-US"/>
        </w:rPr>
      </w:pPr>
      <w:r w:rsidRPr="001C7D60">
        <w:rPr>
          <w:rFonts w:eastAsia="SimSun" w:cs="Times New Roman"/>
          <w:bCs w:val="0"/>
          <w:szCs w:val="19"/>
          <w:lang w:val="en-US"/>
        </w:rPr>
        <w:t xml:space="preserve">The school engaged consistently with the Department of </w:t>
      </w:r>
      <w:r w:rsidRPr="00221616">
        <w:rPr>
          <w:rFonts w:eastAsia="SimSun" w:cs="Times New Roman"/>
          <w:bCs w:val="0"/>
          <w:szCs w:val="19"/>
          <w:lang w:val="en-US"/>
        </w:rPr>
        <w:t>Child Safety Women and Youth</w:t>
      </w:r>
      <w:r w:rsidRPr="001C7D60">
        <w:rPr>
          <w:rFonts w:eastAsia="SimSun" w:cs="Times New Roman"/>
          <w:bCs w:val="0"/>
          <w:szCs w:val="19"/>
          <w:lang w:val="en-US"/>
        </w:rPr>
        <w:t xml:space="preserve">, Disability Service Providers, and Child Youth Mental Health Services to provide a holistic service, particularly for students who have complex needs.  Regular stakeholder meetings were held at Clifford Park Special School, building an important relationship to assist in advocating for each individual child’s needs. </w:t>
      </w:r>
    </w:p>
    <w:p w:rsidR="001C7D60" w:rsidRPr="001C7D60" w:rsidRDefault="001C7D60" w:rsidP="001C7D60">
      <w:pPr>
        <w:autoSpaceDE w:val="0"/>
        <w:autoSpaceDN w:val="0"/>
        <w:adjustRightInd w:val="0"/>
        <w:jc w:val="both"/>
        <w:rPr>
          <w:rFonts w:eastAsia="SimSun" w:cs="Times New Roman"/>
          <w:bCs w:val="0"/>
          <w:color w:val="FF0000"/>
          <w:szCs w:val="19"/>
          <w:lang w:val="en-US"/>
        </w:rPr>
      </w:pPr>
      <w:r w:rsidRPr="001C7D60">
        <w:rPr>
          <w:rFonts w:eastAsia="SimSun" w:cs="Times New Roman"/>
          <w:bCs w:val="0"/>
          <w:szCs w:val="19"/>
          <w:lang w:val="en-US"/>
        </w:rPr>
        <w:t>The school had a small but very active P&amp;C Association that initiated fundraising opportunities as well as providing support of school structures and procedures</w:t>
      </w:r>
      <w:r w:rsidRPr="001C7D60">
        <w:rPr>
          <w:rFonts w:eastAsia="SimSun" w:cs="Times New Roman"/>
          <w:bCs w:val="0"/>
          <w:color w:val="FF0000"/>
          <w:szCs w:val="19"/>
          <w:lang w:val="en-US"/>
        </w:rPr>
        <w:t xml:space="preserve">. </w:t>
      </w:r>
    </w:p>
    <w:p w:rsidR="000126B0" w:rsidRPr="001C7D60" w:rsidRDefault="000126B0" w:rsidP="00FF0E8B">
      <w:pPr>
        <w:pStyle w:val="Body-Text"/>
        <w:rPr>
          <w:lang w:val="en-US" w:eastAsia="en-US"/>
        </w:rPr>
      </w:pPr>
    </w:p>
    <w:p w:rsidR="000126B0" w:rsidRPr="00C36678" w:rsidRDefault="000126B0" w:rsidP="00A954D3">
      <w:pPr>
        <w:pStyle w:val="Body-Text-Smallspace"/>
      </w:pPr>
    </w:p>
    <w:p w:rsidR="000126B0" w:rsidRPr="00C36678" w:rsidRDefault="000126B0" w:rsidP="00FF0E8B">
      <w:pPr>
        <w:pStyle w:val="Heading3-AR"/>
        <w:rPr>
          <w:lang w:eastAsia="en-US"/>
        </w:rPr>
      </w:pPr>
      <w:r w:rsidRPr="00C36678">
        <w:rPr>
          <w:lang w:eastAsia="en-US"/>
        </w:rPr>
        <w:t>Respectful relationships education programs</w:t>
      </w:r>
    </w:p>
    <w:p w:rsidR="00221616" w:rsidRPr="00221616" w:rsidRDefault="00221616" w:rsidP="00221616">
      <w:pPr>
        <w:autoSpaceDE w:val="0"/>
        <w:autoSpaceDN w:val="0"/>
        <w:adjustRightInd w:val="0"/>
        <w:spacing w:after="0"/>
        <w:jc w:val="both"/>
        <w:rPr>
          <w:rFonts w:eastAsia="SimSun" w:cs="Times New Roman"/>
          <w:bCs w:val="0"/>
          <w:szCs w:val="19"/>
          <w:lang w:val="en-US"/>
        </w:rPr>
      </w:pPr>
      <w:r w:rsidRPr="00221616">
        <w:rPr>
          <w:rFonts w:eastAsia="SimSun" w:cs="Times New Roman"/>
          <w:bCs w:val="0"/>
          <w:szCs w:val="19"/>
          <w:lang w:val="en-US"/>
        </w:rPr>
        <w:t xml:space="preserve">The school has developed and implemented a program that focuses on appropriate, respectful and healthy relationships. The Human Relationships Program (HRP) is part of the curriculum offerings at Clifford Park Special School. The Human Relationships Program is largely based on the program, Everybody Needs to Know – a Sexual and Reproductive Health Education Resource for teaching people with a disability (True Relationships &amp; Reproductive Health). The program incorporates the areas of healthy relationships, being safe, sexual relationships and sexual health.  The addition of Mental Health teaching resources, as well as bullying and cyber-safety materials creates a holistic and suitable program for students with disabilities. A three-year plan for both junior secondary students and senior secondary students determines a cyclic teaching program.  Teachers are expected to differentiate teaching activities and resources for different cohorts of students.  The teaching of Positive Behaviour for Learning (PBL) weekly lessons that focus on our school’s four expectations – Be Respectful, Be Responsible, Be Safe and Be Resilient - supports the Human Relationships Program. </w:t>
      </w:r>
    </w:p>
    <w:p w:rsidR="000126B0" w:rsidRPr="00221616" w:rsidRDefault="000126B0" w:rsidP="00FF0E8B">
      <w:pPr>
        <w:pStyle w:val="Body-Text"/>
        <w:rPr>
          <w:lang w:val="en-US"/>
        </w:rPr>
      </w:pPr>
    </w:p>
    <w:p w:rsidR="000126B0" w:rsidRPr="00C36678" w:rsidRDefault="000126B0" w:rsidP="00A954D3">
      <w:pPr>
        <w:pStyle w:val="Body-Text-Smallspace"/>
      </w:pPr>
    </w:p>
    <w:p w:rsidR="000126B0" w:rsidRPr="00C36678" w:rsidRDefault="000126B0" w:rsidP="006D0DA4">
      <w:pPr>
        <w:pStyle w:val="Heading3-AR"/>
      </w:pPr>
      <w:r w:rsidRPr="00C36678">
        <w:t>School disciplinary absences</w:t>
      </w:r>
    </w:p>
    <w:p w:rsidR="000126B0" w:rsidRPr="00C36678" w:rsidRDefault="000126B0" w:rsidP="00456FE9">
      <w:pPr>
        <w:pStyle w:val="Body-Text-Smallspace"/>
      </w:pPr>
    </w:p>
    <w:p w:rsidR="000126B0" w:rsidRPr="00C36678" w:rsidRDefault="000126B0" w:rsidP="00F2363E">
      <w:pPr>
        <w:pStyle w:val="TableCaption-AR"/>
      </w:pPr>
      <w:r w:rsidRPr="00C36678">
        <w:t>Table 6: Count of incidents for students recommended for school disciplinary absences at this school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13"/>
        <w:gridCol w:w="781"/>
        <w:gridCol w:w="777"/>
        <w:gridCol w:w="783"/>
        <w:gridCol w:w="4285"/>
      </w:tblGrid>
      <w:tr w:rsidR="000126B0" w:rsidRPr="00C36678" w:rsidTr="00794C20">
        <w:trPr>
          <w:trHeight w:val="367"/>
        </w:trPr>
        <w:tc>
          <w:tcPr>
            <w:tcW w:w="1563" w:type="pct"/>
            <w:shd w:val="clear" w:color="auto" w:fill="C1ECFF"/>
            <w:vAlign w:val="center"/>
          </w:tcPr>
          <w:p w:rsidR="000126B0" w:rsidRPr="00C36678" w:rsidRDefault="000126B0" w:rsidP="00162A9B">
            <w:pPr>
              <w:pStyle w:val="Body-Table-Heading"/>
              <w:keepNext/>
            </w:pPr>
            <w:r w:rsidRPr="00C36678">
              <w:t>Type of school disciplinary absence</w:t>
            </w:r>
          </w:p>
        </w:tc>
        <w:tc>
          <w:tcPr>
            <w:tcW w:w="405" w:type="pct"/>
            <w:shd w:val="clear" w:color="auto" w:fill="C1ECFF"/>
            <w:vAlign w:val="center"/>
          </w:tcPr>
          <w:p w:rsidR="000126B0" w:rsidRPr="00C36678" w:rsidRDefault="000126B0" w:rsidP="00162A9B">
            <w:pPr>
              <w:pStyle w:val="Body-Table-HeadingCentred"/>
              <w:keepNext/>
            </w:pPr>
            <w:r w:rsidRPr="00C36678">
              <w:t>2016</w:t>
            </w:r>
          </w:p>
        </w:tc>
        <w:tc>
          <w:tcPr>
            <w:tcW w:w="403" w:type="pct"/>
            <w:shd w:val="clear" w:color="auto" w:fill="C1ECFF"/>
            <w:vAlign w:val="center"/>
          </w:tcPr>
          <w:p w:rsidR="000126B0" w:rsidRPr="00C36678" w:rsidRDefault="000126B0" w:rsidP="00162A9B">
            <w:pPr>
              <w:pStyle w:val="Body-Table-HeadingCentred"/>
              <w:keepNext/>
            </w:pPr>
            <w:r w:rsidRPr="00C36678">
              <w:t>2017</w:t>
            </w:r>
          </w:p>
        </w:tc>
        <w:tc>
          <w:tcPr>
            <w:tcW w:w="406" w:type="pct"/>
            <w:shd w:val="clear" w:color="auto" w:fill="C1ECFF"/>
            <w:vAlign w:val="center"/>
          </w:tcPr>
          <w:p w:rsidR="000126B0" w:rsidRPr="00C36678" w:rsidRDefault="000126B0" w:rsidP="00162A9B">
            <w:pPr>
              <w:pStyle w:val="Body-Table-HeadingCentred"/>
              <w:keepNext/>
            </w:pPr>
            <w:r w:rsidRPr="00C36678">
              <w:t>2018</w:t>
            </w:r>
          </w:p>
        </w:tc>
        <w:tc>
          <w:tcPr>
            <w:tcW w:w="2223" w:type="pct"/>
            <w:vMerge w:val="restart"/>
            <w:tcBorders>
              <w:top w:val="nil"/>
              <w:bottom w:val="nil"/>
              <w:right w:val="nil"/>
            </w:tcBorders>
            <w:shd w:val="clear" w:color="auto" w:fill="auto"/>
          </w:tcPr>
          <w:p w:rsidR="000126B0" w:rsidRPr="00C36678" w:rsidRDefault="000126B0" w:rsidP="0071342E">
            <w:pPr>
              <w:pStyle w:val="Body-Text-Smallspace"/>
            </w:pPr>
          </w:p>
          <w:p w:rsidR="000126B0" w:rsidRPr="00C36678" w:rsidRDefault="000126B0" w:rsidP="0071342E">
            <w:pPr>
              <w:pStyle w:val="Body-Table-Note"/>
            </w:pPr>
            <w:r w:rsidRPr="00C36678">
              <w:t>Note:</w:t>
            </w:r>
          </w:p>
          <w:p w:rsidR="000126B0" w:rsidRPr="00C36678" w:rsidRDefault="000126B0" w:rsidP="00225160">
            <w:pPr>
              <w:pStyle w:val="Body-Table-Note"/>
            </w:pPr>
            <w:r w:rsidRPr="00C36678">
              <w:t>School disciplinary absences (SDAs) are absences enforced by a school for student conduct that is prejudicial to the good order and management of the school.</w:t>
            </w:r>
          </w:p>
        </w:tc>
      </w:tr>
      <w:tr w:rsidR="000126B0" w:rsidRPr="00C36678" w:rsidTr="00794C20">
        <w:trPr>
          <w:trHeight w:val="367"/>
        </w:trPr>
        <w:tc>
          <w:tcPr>
            <w:tcW w:w="1563" w:type="pct"/>
            <w:shd w:val="clear" w:color="auto" w:fill="auto"/>
            <w:vAlign w:val="center"/>
          </w:tcPr>
          <w:p w:rsidR="000126B0" w:rsidRPr="00C36678" w:rsidRDefault="000126B0" w:rsidP="00162A9B">
            <w:pPr>
              <w:pStyle w:val="Body-Table-Text"/>
              <w:keepNext/>
              <w:rPr>
                <w:rFonts w:eastAsia="Meiryo"/>
              </w:rPr>
            </w:pPr>
            <w:r w:rsidRPr="00C36678">
              <w:rPr>
                <w:rFonts w:eastAsia="Meiryo"/>
              </w:rPr>
              <w:t>Short suspensions – 1 to 10 days</w:t>
            </w:r>
          </w:p>
        </w:tc>
        <w:tc>
          <w:tcPr>
            <w:tcW w:w="405" w:type="pct"/>
            <w:vAlign w:val="center"/>
          </w:tcPr>
          <w:p w:rsidR="000126B0" w:rsidRPr="00C36678" w:rsidRDefault="000126B0" w:rsidP="00162A9B">
            <w:pPr>
              <w:pStyle w:val="Body-Table-TextCentred"/>
              <w:keepNext/>
            </w:pPr>
            <w:r w:rsidRPr="00211E08">
              <w:rPr>
                <w:noProof/>
              </w:rPr>
              <w:t>17</w:t>
            </w:r>
          </w:p>
        </w:tc>
        <w:tc>
          <w:tcPr>
            <w:tcW w:w="403" w:type="pct"/>
            <w:vAlign w:val="center"/>
          </w:tcPr>
          <w:p w:rsidR="000126B0" w:rsidRPr="00C36678" w:rsidRDefault="000126B0" w:rsidP="00162A9B">
            <w:pPr>
              <w:pStyle w:val="Body-Table-TextCentred"/>
              <w:keepNext/>
            </w:pPr>
            <w:r w:rsidRPr="00211E08">
              <w:rPr>
                <w:noProof/>
              </w:rPr>
              <w:t>14</w:t>
            </w:r>
          </w:p>
        </w:tc>
        <w:tc>
          <w:tcPr>
            <w:tcW w:w="406" w:type="pct"/>
            <w:shd w:val="clear" w:color="auto" w:fill="auto"/>
            <w:vAlign w:val="center"/>
          </w:tcPr>
          <w:p w:rsidR="000126B0" w:rsidRPr="00C36678" w:rsidRDefault="000126B0" w:rsidP="00162A9B">
            <w:pPr>
              <w:pStyle w:val="Body-Table-TextCentred"/>
              <w:keepNext/>
            </w:pPr>
            <w:r w:rsidRPr="00211E08">
              <w:rPr>
                <w:noProof/>
              </w:rPr>
              <w:t>21</w:t>
            </w:r>
          </w:p>
        </w:tc>
        <w:tc>
          <w:tcPr>
            <w:tcW w:w="2223" w:type="pct"/>
            <w:vMerge/>
            <w:tcBorders>
              <w:bottom w:val="nil"/>
              <w:right w:val="nil"/>
            </w:tcBorders>
            <w:shd w:val="clear" w:color="auto" w:fill="auto"/>
          </w:tcPr>
          <w:p w:rsidR="000126B0" w:rsidRPr="00C36678" w:rsidRDefault="000126B0" w:rsidP="00366D44">
            <w:pPr>
              <w:pStyle w:val="Body-Table-TextCentred"/>
            </w:pPr>
          </w:p>
        </w:tc>
      </w:tr>
      <w:tr w:rsidR="000126B0" w:rsidRPr="00C36678" w:rsidTr="00794C20">
        <w:trPr>
          <w:trHeight w:val="367"/>
        </w:trPr>
        <w:tc>
          <w:tcPr>
            <w:tcW w:w="1563" w:type="pct"/>
            <w:shd w:val="clear" w:color="auto" w:fill="auto"/>
            <w:vAlign w:val="center"/>
          </w:tcPr>
          <w:p w:rsidR="000126B0" w:rsidRPr="00C36678" w:rsidRDefault="000126B0" w:rsidP="00162A9B">
            <w:pPr>
              <w:pStyle w:val="Body-Table-Text"/>
              <w:keepNext/>
              <w:rPr>
                <w:rFonts w:eastAsia="Meiryo"/>
              </w:rPr>
            </w:pPr>
            <w:r w:rsidRPr="00C36678">
              <w:rPr>
                <w:rFonts w:eastAsia="Meiryo"/>
              </w:rPr>
              <w:t>Long suspensions – 11 to 20</w:t>
            </w:r>
            <w:r w:rsidRPr="00C36678">
              <w:rPr>
                <w:rFonts w:eastAsia="Meiryo"/>
                <w:b/>
                <w:bCs/>
              </w:rPr>
              <w:t xml:space="preserve"> </w:t>
            </w:r>
            <w:r w:rsidRPr="00C36678">
              <w:rPr>
                <w:rFonts w:eastAsia="Meiryo"/>
              </w:rPr>
              <w:t>days</w:t>
            </w:r>
          </w:p>
        </w:tc>
        <w:tc>
          <w:tcPr>
            <w:tcW w:w="405" w:type="pct"/>
            <w:vAlign w:val="center"/>
          </w:tcPr>
          <w:p w:rsidR="000126B0" w:rsidRPr="00C36678" w:rsidRDefault="000126B0" w:rsidP="00162A9B">
            <w:pPr>
              <w:pStyle w:val="Body-Table-TextCentred"/>
              <w:keepNext/>
            </w:pPr>
            <w:r w:rsidRPr="00211E08">
              <w:rPr>
                <w:noProof/>
              </w:rPr>
              <w:t>0</w:t>
            </w:r>
          </w:p>
        </w:tc>
        <w:tc>
          <w:tcPr>
            <w:tcW w:w="403" w:type="pct"/>
            <w:vAlign w:val="center"/>
          </w:tcPr>
          <w:p w:rsidR="000126B0" w:rsidRPr="00C36678" w:rsidRDefault="000126B0" w:rsidP="00162A9B">
            <w:pPr>
              <w:pStyle w:val="Body-Table-TextCentred"/>
              <w:keepNext/>
            </w:pPr>
            <w:r w:rsidRPr="00211E08">
              <w:rPr>
                <w:noProof/>
              </w:rPr>
              <w:t>0</w:t>
            </w:r>
          </w:p>
        </w:tc>
        <w:tc>
          <w:tcPr>
            <w:tcW w:w="406" w:type="pct"/>
            <w:shd w:val="clear" w:color="auto" w:fill="auto"/>
            <w:vAlign w:val="center"/>
          </w:tcPr>
          <w:p w:rsidR="000126B0" w:rsidRPr="00C36678" w:rsidRDefault="000126B0" w:rsidP="00162A9B">
            <w:pPr>
              <w:pStyle w:val="Body-Table-TextCentred"/>
              <w:keepNext/>
            </w:pPr>
            <w:r w:rsidRPr="00211E08">
              <w:rPr>
                <w:noProof/>
              </w:rPr>
              <w:t>0</w:t>
            </w:r>
          </w:p>
        </w:tc>
        <w:tc>
          <w:tcPr>
            <w:tcW w:w="2223" w:type="pct"/>
            <w:vMerge/>
            <w:tcBorders>
              <w:bottom w:val="nil"/>
              <w:right w:val="nil"/>
            </w:tcBorders>
            <w:shd w:val="clear" w:color="auto" w:fill="auto"/>
          </w:tcPr>
          <w:p w:rsidR="000126B0" w:rsidRPr="00C36678" w:rsidRDefault="000126B0" w:rsidP="00366D44">
            <w:pPr>
              <w:pStyle w:val="Body-Table-TextCentred"/>
            </w:pPr>
          </w:p>
        </w:tc>
      </w:tr>
      <w:tr w:rsidR="000126B0" w:rsidRPr="00C36678" w:rsidTr="00794C20">
        <w:trPr>
          <w:trHeight w:val="367"/>
        </w:trPr>
        <w:tc>
          <w:tcPr>
            <w:tcW w:w="1563" w:type="pct"/>
            <w:shd w:val="clear" w:color="auto" w:fill="auto"/>
            <w:vAlign w:val="center"/>
          </w:tcPr>
          <w:p w:rsidR="000126B0" w:rsidRPr="00C36678" w:rsidRDefault="000126B0" w:rsidP="00162A9B">
            <w:pPr>
              <w:pStyle w:val="Body-Table-Text"/>
              <w:keepNext/>
              <w:rPr>
                <w:rFonts w:eastAsia="Meiryo"/>
              </w:rPr>
            </w:pPr>
            <w:r w:rsidRPr="00C36678">
              <w:rPr>
                <w:rFonts w:eastAsia="Meiryo"/>
              </w:rPr>
              <w:t>Exclusions</w:t>
            </w:r>
          </w:p>
        </w:tc>
        <w:tc>
          <w:tcPr>
            <w:tcW w:w="405" w:type="pct"/>
            <w:vAlign w:val="center"/>
          </w:tcPr>
          <w:p w:rsidR="000126B0" w:rsidRPr="00C36678" w:rsidRDefault="000126B0" w:rsidP="00162A9B">
            <w:pPr>
              <w:pStyle w:val="Body-Table-TextCentred"/>
              <w:keepNext/>
            </w:pPr>
            <w:r w:rsidRPr="00211E08">
              <w:rPr>
                <w:noProof/>
              </w:rPr>
              <w:t>0</w:t>
            </w:r>
          </w:p>
        </w:tc>
        <w:tc>
          <w:tcPr>
            <w:tcW w:w="403" w:type="pct"/>
            <w:vAlign w:val="center"/>
          </w:tcPr>
          <w:p w:rsidR="000126B0" w:rsidRPr="00C36678" w:rsidRDefault="000126B0" w:rsidP="00162A9B">
            <w:pPr>
              <w:pStyle w:val="Body-Table-TextCentred"/>
              <w:keepNext/>
            </w:pPr>
            <w:r w:rsidRPr="00211E08">
              <w:rPr>
                <w:noProof/>
              </w:rPr>
              <w:t>0</w:t>
            </w:r>
          </w:p>
        </w:tc>
        <w:tc>
          <w:tcPr>
            <w:tcW w:w="406" w:type="pct"/>
            <w:shd w:val="clear" w:color="auto" w:fill="auto"/>
            <w:vAlign w:val="center"/>
          </w:tcPr>
          <w:p w:rsidR="000126B0" w:rsidRPr="00C36678" w:rsidRDefault="000126B0" w:rsidP="00162A9B">
            <w:pPr>
              <w:pStyle w:val="Body-Table-TextCentred"/>
              <w:keepNext/>
            </w:pPr>
            <w:r w:rsidRPr="00211E08">
              <w:rPr>
                <w:noProof/>
              </w:rPr>
              <w:t>0</w:t>
            </w:r>
          </w:p>
        </w:tc>
        <w:tc>
          <w:tcPr>
            <w:tcW w:w="2223" w:type="pct"/>
            <w:vMerge/>
            <w:tcBorders>
              <w:bottom w:val="nil"/>
              <w:right w:val="nil"/>
            </w:tcBorders>
            <w:shd w:val="clear" w:color="auto" w:fill="auto"/>
          </w:tcPr>
          <w:p w:rsidR="000126B0" w:rsidRPr="00C36678" w:rsidRDefault="000126B0" w:rsidP="00366D44">
            <w:pPr>
              <w:pStyle w:val="Body-Table-TextCentred"/>
            </w:pPr>
          </w:p>
        </w:tc>
      </w:tr>
      <w:tr w:rsidR="000126B0" w:rsidRPr="00C36678" w:rsidTr="00794C20">
        <w:trPr>
          <w:trHeight w:val="367"/>
        </w:trPr>
        <w:tc>
          <w:tcPr>
            <w:tcW w:w="1563" w:type="pct"/>
            <w:shd w:val="clear" w:color="auto" w:fill="auto"/>
            <w:vAlign w:val="center"/>
          </w:tcPr>
          <w:p w:rsidR="000126B0" w:rsidRPr="00C36678" w:rsidRDefault="000126B0" w:rsidP="00162A9B">
            <w:pPr>
              <w:pStyle w:val="Body-Table-Text"/>
              <w:keepNext/>
              <w:rPr>
                <w:rFonts w:eastAsia="Meiryo"/>
              </w:rPr>
            </w:pPr>
            <w:r w:rsidRPr="00C36678">
              <w:rPr>
                <w:rFonts w:eastAsia="Meiryo"/>
              </w:rPr>
              <w:t>Cancellations of enrolment</w:t>
            </w:r>
          </w:p>
        </w:tc>
        <w:tc>
          <w:tcPr>
            <w:tcW w:w="405" w:type="pct"/>
            <w:vAlign w:val="center"/>
          </w:tcPr>
          <w:p w:rsidR="000126B0" w:rsidRPr="00C36678" w:rsidRDefault="000126B0" w:rsidP="00162A9B">
            <w:pPr>
              <w:pStyle w:val="Body-Table-TextCentred"/>
              <w:keepNext/>
            </w:pPr>
            <w:r w:rsidRPr="00211E08">
              <w:rPr>
                <w:noProof/>
              </w:rPr>
              <w:t>0</w:t>
            </w:r>
          </w:p>
        </w:tc>
        <w:tc>
          <w:tcPr>
            <w:tcW w:w="403" w:type="pct"/>
            <w:vAlign w:val="center"/>
          </w:tcPr>
          <w:p w:rsidR="000126B0" w:rsidRPr="00C36678" w:rsidRDefault="000126B0" w:rsidP="00162A9B">
            <w:pPr>
              <w:pStyle w:val="Body-Table-TextCentred"/>
              <w:keepNext/>
            </w:pPr>
            <w:r w:rsidRPr="00211E08">
              <w:rPr>
                <w:noProof/>
              </w:rPr>
              <w:t>0</w:t>
            </w:r>
          </w:p>
        </w:tc>
        <w:tc>
          <w:tcPr>
            <w:tcW w:w="406" w:type="pct"/>
            <w:shd w:val="clear" w:color="auto" w:fill="auto"/>
            <w:vAlign w:val="center"/>
          </w:tcPr>
          <w:p w:rsidR="000126B0" w:rsidRPr="00C36678" w:rsidRDefault="000126B0" w:rsidP="00162A9B">
            <w:pPr>
              <w:pStyle w:val="Body-Table-TextCentred"/>
              <w:keepNext/>
            </w:pPr>
            <w:r w:rsidRPr="00211E08">
              <w:rPr>
                <w:noProof/>
              </w:rPr>
              <w:t>0</w:t>
            </w:r>
          </w:p>
        </w:tc>
        <w:tc>
          <w:tcPr>
            <w:tcW w:w="2223" w:type="pct"/>
            <w:vMerge/>
            <w:tcBorders>
              <w:bottom w:val="nil"/>
              <w:right w:val="nil"/>
            </w:tcBorders>
            <w:shd w:val="clear" w:color="auto" w:fill="auto"/>
          </w:tcPr>
          <w:p w:rsidR="000126B0" w:rsidRPr="00C36678" w:rsidRDefault="000126B0" w:rsidP="00366D44">
            <w:pPr>
              <w:pStyle w:val="Body-Table-TextCentred"/>
            </w:pPr>
          </w:p>
        </w:tc>
      </w:tr>
    </w:tbl>
    <w:p w:rsidR="000126B0" w:rsidRPr="00C36678" w:rsidRDefault="000126B0" w:rsidP="006D0DA4">
      <w:pPr>
        <w:pStyle w:val="Body-Text"/>
      </w:pPr>
    </w:p>
    <w:p w:rsidR="000126B0" w:rsidRPr="00C36678" w:rsidRDefault="000126B0" w:rsidP="00A954D3">
      <w:pPr>
        <w:pStyle w:val="Body-Text-Smallspace"/>
      </w:pPr>
    </w:p>
    <w:p w:rsidR="000126B0" w:rsidRPr="00C36678" w:rsidRDefault="000126B0" w:rsidP="00B13A38">
      <w:pPr>
        <w:pStyle w:val="Heading2-AR"/>
      </w:pPr>
      <w:r w:rsidRPr="00C36678">
        <w:t>Environmental footprint</w:t>
      </w:r>
    </w:p>
    <w:p w:rsidR="000126B0" w:rsidRPr="00C36678" w:rsidRDefault="000126B0" w:rsidP="00A954D3">
      <w:pPr>
        <w:pStyle w:val="Body-Text-Smallspace"/>
      </w:pPr>
    </w:p>
    <w:p w:rsidR="00542197" w:rsidRPr="00221616" w:rsidRDefault="000126B0" w:rsidP="00221616">
      <w:pPr>
        <w:pStyle w:val="Heading3-AR"/>
      </w:pPr>
      <w:r w:rsidRPr="00C36678">
        <w:t>Reducing this s</w:t>
      </w:r>
      <w:r w:rsidR="00221616">
        <w:t>chool’s environmental footprint</w:t>
      </w:r>
    </w:p>
    <w:p w:rsidR="00542197" w:rsidRPr="00221616" w:rsidRDefault="00542197" w:rsidP="00FF7F06">
      <w:pPr>
        <w:spacing w:after="200"/>
        <w:jc w:val="both"/>
        <w:rPr>
          <w:rFonts w:eastAsia="SimSun" w:cs="Times New Roman"/>
          <w:bCs w:val="0"/>
          <w:szCs w:val="19"/>
          <w:lang w:val="en-US"/>
        </w:rPr>
      </w:pPr>
      <w:r w:rsidRPr="00221616">
        <w:rPr>
          <w:rFonts w:eastAsia="SimSun" w:cs="Times New Roman"/>
          <w:bCs w:val="0"/>
          <w:szCs w:val="19"/>
          <w:lang w:val="en-US"/>
        </w:rPr>
        <w:t>A significant decrease in Clifford Park’s water use was evident during 2018.  Although electricity usage had increased in 2018, it was still at a lower point than the previous year</w:t>
      </w:r>
      <w:r w:rsidR="00221616">
        <w:rPr>
          <w:rFonts w:eastAsia="SimSun" w:cs="Times New Roman"/>
          <w:bCs w:val="0"/>
          <w:szCs w:val="19"/>
          <w:lang w:val="en-US"/>
        </w:rPr>
        <w:t xml:space="preserve"> than 2016</w:t>
      </w:r>
      <w:r w:rsidRPr="00221616">
        <w:rPr>
          <w:rFonts w:eastAsia="SimSun" w:cs="Times New Roman"/>
          <w:bCs w:val="0"/>
          <w:szCs w:val="19"/>
          <w:lang w:val="en-US"/>
        </w:rPr>
        <w:t>.   Good management of the school’s heated pool continues to be essential in maintaining utility usage at its lowest level possible.  The pool was heated to different temperatures over a weekly cycle.  Students, who required a hotter pool due to physical impairments, used the pool at the beginning of the week when the temperature was higher.  The pool’s temperature was then reduced for students that could to</w:t>
      </w:r>
      <w:r w:rsidR="00221616">
        <w:rPr>
          <w:rFonts w:eastAsia="SimSun" w:cs="Times New Roman"/>
          <w:bCs w:val="0"/>
          <w:szCs w:val="19"/>
          <w:lang w:val="en-US"/>
        </w:rPr>
        <w:t>lerate a cooler temperature.  All</w:t>
      </w:r>
      <w:r w:rsidRPr="00221616">
        <w:rPr>
          <w:rFonts w:eastAsia="SimSun" w:cs="Times New Roman"/>
          <w:bCs w:val="0"/>
          <w:szCs w:val="19"/>
          <w:lang w:val="en-US"/>
        </w:rPr>
        <w:t xml:space="preserve"> classrooms </w:t>
      </w:r>
      <w:r w:rsidR="00221616">
        <w:rPr>
          <w:rFonts w:eastAsia="SimSun" w:cs="Times New Roman"/>
          <w:bCs w:val="0"/>
          <w:szCs w:val="19"/>
          <w:lang w:val="en-US"/>
        </w:rPr>
        <w:t xml:space="preserve">now have </w:t>
      </w:r>
      <w:r w:rsidRPr="00221616">
        <w:rPr>
          <w:rFonts w:eastAsia="SimSun" w:cs="Times New Roman"/>
          <w:bCs w:val="0"/>
          <w:szCs w:val="19"/>
          <w:lang w:val="en-US"/>
        </w:rPr>
        <w:t>rev</w:t>
      </w:r>
      <w:r w:rsidR="00221616">
        <w:rPr>
          <w:rFonts w:eastAsia="SimSun" w:cs="Times New Roman"/>
          <w:bCs w:val="0"/>
          <w:szCs w:val="19"/>
          <w:lang w:val="en-US"/>
        </w:rPr>
        <w:t>erse cycle air conditioners</w:t>
      </w:r>
      <w:r w:rsidRPr="00221616">
        <w:rPr>
          <w:rFonts w:eastAsia="SimSun" w:cs="Times New Roman"/>
          <w:bCs w:val="0"/>
          <w:szCs w:val="19"/>
          <w:lang w:val="en-US"/>
        </w:rPr>
        <w:t xml:space="preserve"> installed,</w:t>
      </w:r>
      <w:r w:rsidR="00B46677">
        <w:rPr>
          <w:rFonts w:eastAsia="SimSun" w:cs="Times New Roman"/>
          <w:bCs w:val="0"/>
          <w:szCs w:val="19"/>
          <w:lang w:val="en-US"/>
        </w:rPr>
        <w:t xml:space="preserve"> following a</w:t>
      </w:r>
      <w:r w:rsidR="00221616">
        <w:rPr>
          <w:rFonts w:eastAsia="SimSun" w:cs="Times New Roman"/>
          <w:bCs w:val="0"/>
          <w:szCs w:val="19"/>
          <w:lang w:val="en-US"/>
        </w:rPr>
        <w:t xml:space="preserve"> succes</w:t>
      </w:r>
      <w:r w:rsidR="00B46677">
        <w:rPr>
          <w:rFonts w:eastAsia="SimSun" w:cs="Times New Roman"/>
          <w:bCs w:val="0"/>
          <w:szCs w:val="19"/>
          <w:lang w:val="en-US"/>
        </w:rPr>
        <w:t>sful grant application. W</w:t>
      </w:r>
      <w:r w:rsidRPr="00221616">
        <w:rPr>
          <w:rFonts w:eastAsia="SimSun" w:cs="Times New Roman"/>
          <w:bCs w:val="0"/>
          <w:szCs w:val="19"/>
          <w:lang w:val="en-US"/>
        </w:rPr>
        <w:t>here possible, presetting on more economical temperature settings is implemented  as a way to further reduce utility costs.  The Leadership team often articulates our responsibility as a community to reduce our impact on the environment.</w:t>
      </w:r>
      <w:r w:rsidR="00221616">
        <w:rPr>
          <w:rFonts w:eastAsia="SimSun" w:cs="Times New Roman"/>
          <w:bCs w:val="0"/>
          <w:szCs w:val="19"/>
          <w:lang w:val="en-US"/>
        </w:rPr>
        <w:t xml:space="preserve"> </w:t>
      </w:r>
    </w:p>
    <w:p w:rsidR="000126B0" w:rsidRPr="00542197" w:rsidRDefault="00F17B57" w:rsidP="00FF7F06">
      <w:pPr>
        <w:pStyle w:val="Body-Text"/>
        <w:jc w:val="both"/>
        <w:rPr>
          <w:lang w:val="en-US" w:eastAsia="en-US"/>
        </w:rPr>
      </w:pPr>
      <w:r>
        <w:rPr>
          <w:lang w:val="en-US" w:eastAsia="en-US"/>
        </w:rPr>
        <w:t>The Container for Change</w:t>
      </w:r>
      <w:r w:rsidR="00575727">
        <w:rPr>
          <w:lang w:val="en-US" w:eastAsia="en-US"/>
        </w:rPr>
        <w:t xml:space="preserve"> agenda has been taken on whole-</w:t>
      </w:r>
      <w:r>
        <w:rPr>
          <w:lang w:val="en-US" w:eastAsia="en-US"/>
        </w:rPr>
        <w:t>heartedly by Clifford Park Special School.  The school has</w:t>
      </w:r>
      <w:r w:rsidR="00575727">
        <w:rPr>
          <w:lang w:val="en-US" w:eastAsia="en-US"/>
        </w:rPr>
        <w:t xml:space="preserve"> extended its recycling program and has formed </w:t>
      </w:r>
      <w:r w:rsidR="00B46677">
        <w:rPr>
          <w:lang w:val="en-US" w:eastAsia="en-US"/>
        </w:rPr>
        <w:t>strong partnerships</w:t>
      </w:r>
      <w:r w:rsidR="00575727">
        <w:rPr>
          <w:lang w:val="en-US" w:eastAsia="en-US"/>
        </w:rPr>
        <w:t xml:space="preserve"> with a number of community </w:t>
      </w:r>
      <w:r w:rsidR="00B46677">
        <w:rPr>
          <w:lang w:val="en-US" w:eastAsia="en-US"/>
        </w:rPr>
        <w:t xml:space="preserve">organizations.  It is our intention to further this environmental program into 2019 with the purchase of a number of items to strengthen the infrastructure requirements for long-term management.   </w:t>
      </w:r>
    </w:p>
    <w:p w:rsidR="000126B0" w:rsidRPr="00C36678" w:rsidRDefault="000126B0" w:rsidP="00456FE9">
      <w:pPr>
        <w:pStyle w:val="Body-Text-Smallspace"/>
      </w:pPr>
    </w:p>
    <w:p w:rsidR="000126B0" w:rsidRPr="00C36678" w:rsidRDefault="000126B0" w:rsidP="00F2363E">
      <w:pPr>
        <w:pStyle w:val="TableCaption-AR"/>
      </w:pPr>
      <w:r w:rsidRPr="00C36678">
        <w:t>Table 7: Environmental footprint indicators for this school</w:t>
      </w:r>
    </w:p>
    <w:tbl>
      <w:tblPr>
        <w:tblW w:w="9659"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76"/>
        <w:gridCol w:w="1132"/>
        <w:gridCol w:w="1275"/>
        <w:gridCol w:w="1275"/>
        <w:gridCol w:w="4401"/>
      </w:tblGrid>
      <w:tr w:rsidR="000126B0" w:rsidRPr="00C36678" w:rsidTr="00AD614C">
        <w:trPr>
          <w:trHeight w:val="525"/>
          <w:tblHeader/>
        </w:trPr>
        <w:tc>
          <w:tcPr>
            <w:tcW w:w="816" w:type="pct"/>
            <w:shd w:val="clear" w:color="auto" w:fill="C1ECFF"/>
            <w:vAlign w:val="center"/>
          </w:tcPr>
          <w:p w:rsidR="000126B0" w:rsidRPr="00C36678" w:rsidRDefault="000126B0" w:rsidP="00162A9B">
            <w:pPr>
              <w:pStyle w:val="Body-Table-Heading"/>
              <w:keepNext/>
            </w:pPr>
            <w:r w:rsidRPr="00C36678">
              <w:t>Utility category</w:t>
            </w:r>
          </w:p>
        </w:tc>
        <w:tc>
          <w:tcPr>
            <w:tcW w:w="586" w:type="pct"/>
            <w:shd w:val="clear" w:color="auto" w:fill="C1ECFF"/>
            <w:vAlign w:val="center"/>
          </w:tcPr>
          <w:p w:rsidR="000126B0" w:rsidRPr="00C36678" w:rsidRDefault="000126B0" w:rsidP="00162A9B">
            <w:pPr>
              <w:pStyle w:val="Body-Table-HeadingCentred"/>
              <w:keepNext/>
            </w:pPr>
            <w:r w:rsidRPr="00C36678">
              <w:t>2015–2016</w:t>
            </w:r>
          </w:p>
        </w:tc>
        <w:tc>
          <w:tcPr>
            <w:tcW w:w="660" w:type="pct"/>
            <w:shd w:val="clear" w:color="auto" w:fill="C1ECFF"/>
            <w:vAlign w:val="center"/>
          </w:tcPr>
          <w:p w:rsidR="000126B0" w:rsidRPr="00C36678" w:rsidRDefault="000126B0" w:rsidP="00162A9B">
            <w:pPr>
              <w:pStyle w:val="Body-Table-HeadingCentred"/>
              <w:keepNext/>
            </w:pPr>
            <w:r w:rsidRPr="00C36678">
              <w:t>2016–2017</w:t>
            </w:r>
          </w:p>
        </w:tc>
        <w:tc>
          <w:tcPr>
            <w:tcW w:w="660" w:type="pct"/>
            <w:tcBorders>
              <w:right w:val="single" w:sz="4" w:space="0" w:color="808080"/>
            </w:tcBorders>
            <w:shd w:val="clear" w:color="auto" w:fill="C1ECFF"/>
            <w:vAlign w:val="center"/>
          </w:tcPr>
          <w:p w:rsidR="000126B0" w:rsidRPr="00C36678" w:rsidRDefault="000126B0" w:rsidP="00162A9B">
            <w:pPr>
              <w:pStyle w:val="Body-Table-HeadingCentred"/>
              <w:keepNext/>
            </w:pPr>
            <w:r w:rsidRPr="00C36678">
              <w:t>2017–2018</w:t>
            </w:r>
          </w:p>
        </w:tc>
        <w:tc>
          <w:tcPr>
            <w:tcW w:w="2278" w:type="pct"/>
            <w:vMerge w:val="restart"/>
            <w:tcBorders>
              <w:top w:val="nil"/>
              <w:left w:val="single" w:sz="4" w:space="0" w:color="808080"/>
              <w:bottom w:val="nil"/>
              <w:right w:val="nil"/>
            </w:tcBorders>
            <w:shd w:val="clear" w:color="auto" w:fill="auto"/>
          </w:tcPr>
          <w:p w:rsidR="000126B0" w:rsidRPr="00C36678" w:rsidRDefault="000126B0" w:rsidP="00106D22">
            <w:pPr>
              <w:pStyle w:val="Body-Table-Note"/>
            </w:pPr>
            <w:r w:rsidRPr="00C36678">
              <w:t>Note:</w:t>
            </w:r>
          </w:p>
          <w:p w:rsidR="000126B0" w:rsidRPr="00C36678" w:rsidRDefault="000126B0" w:rsidP="00106D22">
            <w:pPr>
              <w:pStyle w:val="Body-Table-Note"/>
            </w:pPr>
            <w:r w:rsidRPr="00C36678">
              <w:t>Consumption data is compiled from sources including ERM, Ergon reports and utilities data entered into OneSchool* by schools. The data provides an indication of the consumption trend in each of the utility categories which impact on this school’s environmental footprint.</w:t>
            </w:r>
          </w:p>
          <w:p w:rsidR="000126B0" w:rsidRPr="00C36678" w:rsidRDefault="000126B0" w:rsidP="00106D22">
            <w:pPr>
              <w:pStyle w:val="Body-Table-Note"/>
            </w:pPr>
            <w:r w:rsidRPr="00C36678">
              <w:t>*OneSchool is the department's comprehensive software suite that schools use to run safe, secure, sustainable and consistent reporting and administrative processes.</w:t>
            </w:r>
          </w:p>
        </w:tc>
      </w:tr>
      <w:tr w:rsidR="000126B0" w:rsidRPr="00C36678" w:rsidTr="000129D4">
        <w:trPr>
          <w:trHeight w:val="525"/>
        </w:trPr>
        <w:tc>
          <w:tcPr>
            <w:tcW w:w="816" w:type="pct"/>
            <w:shd w:val="clear" w:color="auto" w:fill="auto"/>
            <w:vAlign w:val="center"/>
          </w:tcPr>
          <w:p w:rsidR="000126B0" w:rsidRPr="00C36678" w:rsidRDefault="000126B0" w:rsidP="00162A9B">
            <w:pPr>
              <w:pStyle w:val="Body-Table-Text"/>
              <w:keepNext/>
              <w:rPr>
                <w:rFonts w:eastAsia="Meiryo"/>
              </w:rPr>
            </w:pPr>
            <w:r w:rsidRPr="00C36678">
              <w:t>Electricity (kWh)</w:t>
            </w:r>
          </w:p>
        </w:tc>
        <w:tc>
          <w:tcPr>
            <w:tcW w:w="586" w:type="pct"/>
            <w:vAlign w:val="center"/>
          </w:tcPr>
          <w:p w:rsidR="000126B0" w:rsidRPr="00B10FEE" w:rsidRDefault="000126B0" w:rsidP="00214F8D">
            <w:pPr>
              <w:pStyle w:val="Body-Table-TextCentred"/>
              <w:keepNext/>
            </w:pPr>
            <w:r w:rsidRPr="00211E08">
              <w:rPr>
                <w:noProof/>
                <w:lang w:val="en-US"/>
              </w:rPr>
              <w:t>250,102</w:t>
            </w:r>
          </w:p>
        </w:tc>
        <w:tc>
          <w:tcPr>
            <w:tcW w:w="660" w:type="pct"/>
            <w:vAlign w:val="center"/>
          </w:tcPr>
          <w:p w:rsidR="000126B0" w:rsidRPr="00B10FEE" w:rsidRDefault="000126B0" w:rsidP="00214F8D">
            <w:pPr>
              <w:pStyle w:val="Body-Table-TextCentred"/>
              <w:keepNext/>
            </w:pPr>
            <w:r w:rsidRPr="00211E08">
              <w:rPr>
                <w:noProof/>
                <w:lang w:val="en-US"/>
              </w:rPr>
              <w:t>231,648</w:t>
            </w:r>
          </w:p>
        </w:tc>
        <w:tc>
          <w:tcPr>
            <w:tcW w:w="660" w:type="pct"/>
            <w:tcBorders>
              <w:right w:val="single" w:sz="4" w:space="0" w:color="808080"/>
            </w:tcBorders>
            <w:vAlign w:val="center"/>
          </w:tcPr>
          <w:p w:rsidR="000126B0" w:rsidRPr="00B10FEE" w:rsidRDefault="000126B0" w:rsidP="00214F8D">
            <w:pPr>
              <w:pStyle w:val="Body-Table-TextCentred"/>
              <w:keepNext/>
            </w:pPr>
            <w:r w:rsidRPr="00211E08">
              <w:rPr>
                <w:noProof/>
                <w:lang w:val="en-US"/>
              </w:rPr>
              <w:t>244,169</w:t>
            </w:r>
          </w:p>
        </w:tc>
        <w:tc>
          <w:tcPr>
            <w:tcW w:w="2278" w:type="pct"/>
            <w:vMerge/>
            <w:tcBorders>
              <w:left w:val="single" w:sz="4" w:space="0" w:color="808080"/>
              <w:bottom w:val="nil"/>
              <w:right w:val="nil"/>
            </w:tcBorders>
            <w:shd w:val="clear" w:color="auto" w:fill="auto"/>
          </w:tcPr>
          <w:p w:rsidR="000126B0" w:rsidRPr="00C36678" w:rsidRDefault="000126B0" w:rsidP="00F2363E">
            <w:pPr>
              <w:pStyle w:val="Body-Table-TextCentred"/>
            </w:pPr>
          </w:p>
        </w:tc>
      </w:tr>
      <w:tr w:rsidR="000126B0" w:rsidRPr="00C36678" w:rsidTr="000129D4">
        <w:trPr>
          <w:trHeight w:val="525"/>
        </w:trPr>
        <w:tc>
          <w:tcPr>
            <w:tcW w:w="816" w:type="pct"/>
            <w:tcBorders>
              <w:bottom w:val="single" w:sz="4" w:space="0" w:color="808080"/>
            </w:tcBorders>
            <w:shd w:val="clear" w:color="auto" w:fill="auto"/>
            <w:vAlign w:val="center"/>
          </w:tcPr>
          <w:p w:rsidR="000126B0" w:rsidRPr="00C36678" w:rsidRDefault="000126B0" w:rsidP="00162A9B">
            <w:pPr>
              <w:pStyle w:val="Body-Table-Text"/>
              <w:keepNext/>
              <w:rPr>
                <w:rFonts w:eastAsia="Meiryo"/>
              </w:rPr>
            </w:pPr>
            <w:r w:rsidRPr="00C36678">
              <w:t>Water (kL)</w:t>
            </w:r>
          </w:p>
        </w:tc>
        <w:tc>
          <w:tcPr>
            <w:tcW w:w="586" w:type="pct"/>
            <w:tcBorders>
              <w:bottom w:val="single" w:sz="4" w:space="0" w:color="808080"/>
            </w:tcBorders>
            <w:vAlign w:val="center"/>
          </w:tcPr>
          <w:p w:rsidR="000126B0" w:rsidRPr="00B10FEE" w:rsidRDefault="000126B0" w:rsidP="00214F8D">
            <w:pPr>
              <w:pStyle w:val="Body-Table-TextCentred"/>
              <w:keepNext/>
            </w:pPr>
            <w:r w:rsidRPr="00211E08">
              <w:rPr>
                <w:noProof/>
                <w:lang w:val="en-US"/>
              </w:rPr>
              <w:t>1,461</w:t>
            </w:r>
          </w:p>
        </w:tc>
        <w:tc>
          <w:tcPr>
            <w:tcW w:w="660" w:type="pct"/>
            <w:tcBorders>
              <w:bottom w:val="single" w:sz="4" w:space="0" w:color="808080"/>
            </w:tcBorders>
            <w:vAlign w:val="center"/>
          </w:tcPr>
          <w:p w:rsidR="000126B0" w:rsidRPr="00B10FEE" w:rsidRDefault="000126B0" w:rsidP="00214F8D">
            <w:pPr>
              <w:pStyle w:val="Body-Table-TextCentred"/>
              <w:keepNext/>
            </w:pPr>
            <w:r w:rsidRPr="00211E08">
              <w:rPr>
                <w:noProof/>
                <w:lang w:val="en-US"/>
              </w:rPr>
              <w:t>2,447</w:t>
            </w:r>
          </w:p>
        </w:tc>
        <w:tc>
          <w:tcPr>
            <w:tcW w:w="660" w:type="pct"/>
            <w:tcBorders>
              <w:bottom w:val="single" w:sz="4" w:space="0" w:color="808080"/>
              <w:right w:val="single" w:sz="4" w:space="0" w:color="808080"/>
            </w:tcBorders>
            <w:vAlign w:val="center"/>
          </w:tcPr>
          <w:p w:rsidR="000126B0" w:rsidRPr="00B10FEE" w:rsidRDefault="000126B0" w:rsidP="00214F8D">
            <w:pPr>
              <w:pStyle w:val="Body-Table-TextCentred"/>
              <w:keepNext/>
            </w:pPr>
            <w:r w:rsidRPr="00211E08">
              <w:rPr>
                <w:noProof/>
                <w:lang w:val="en-US"/>
              </w:rPr>
              <w:t>771</w:t>
            </w:r>
          </w:p>
        </w:tc>
        <w:tc>
          <w:tcPr>
            <w:tcW w:w="2278" w:type="pct"/>
            <w:vMerge/>
            <w:tcBorders>
              <w:left w:val="single" w:sz="4" w:space="0" w:color="808080"/>
              <w:bottom w:val="nil"/>
              <w:right w:val="nil"/>
            </w:tcBorders>
            <w:shd w:val="clear" w:color="auto" w:fill="auto"/>
          </w:tcPr>
          <w:p w:rsidR="000126B0" w:rsidRPr="00C36678" w:rsidRDefault="000126B0" w:rsidP="00F2363E">
            <w:pPr>
              <w:pStyle w:val="Body-Table-TextCentred"/>
            </w:pPr>
          </w:p>
        </w:tc>
      </w:tr>
      <w:tr w:rsidR="000126B0" w:rsidRPr="00C36678" w:rsidTr="000129D4">
        <w:trPr>
          <w:trHeight w:val="525"/>
        </w:trPr>
        <w:tc>
          <w:tcPr>
            <w:tcW w:w="816" w:type="pct"/>
            <w:tcBorders>
              <w:left w:val="nil"/>
              <w:bottom w:val="nil"/>
              <w:right w:val="nil"/>
            </w:tcBorders>
            <w:shd w:val="clear" w:color="auto" w:fill="auto"/>
            <w:vAlign w:val="center"/>
          </w:tcPr>
          <w:p w:rsidR="000126B0" w:rsidRPr="00C36678" w:rsidRDefault="000126B0" w:rsidP="00162A9B">
            <w:pPr>
              <w:pStyle w:val="Body-Table-Text"/>
              <w:keepNext/>
            </w:pPr>
          </w:p>
        </w:tc>
        <w:tc>
          <w:tcPr>
            <w:tcW w:w="586" w:type="pct"/>
            <w:tcBorders>
              <w:left w:val="nil"/>
              <w:bottom w:val="nil"/>
              <w:right w:val="nil"/>
            </w:tcBorders>
            <w:vAlign w:val="center"/>
          </w:tcPr>
          <w:p w:rsidR="000126B0" w:rsidRPr="00B10FEE" w:rsidRDefault="000126B0" w:rsidP="00162A9B">
            <w:pPr>
              <w:pStyle w:val="Body-Table-TextCentred"/>
              <w:keepNext/>
            </w:pPr>
          </w:p>
        </w:tc>
        <w:tc>
          <w:tcPr>
            <w:tcW w:w="660" w:type="pct"/>
            <w:tcBorders>
              <w:left w:val="nil"/>
              <w:bottom w:val="nil"/>
              <w:right w:val="nil"/>
            </w:tcBorders>
            <w:vAlign w:val="center"/>
          </w:tcPr>
          <w:p w:rsidR="000126B0" w:rsidRPr="00B10FEE" w:rsidRDefault="000126B0" w:rsidP="00162A9B">
            <w:pPr>
              <w:pStyle w:val="Body-Table-TextCentred"/>
              <w:keepNext/>
            </w:pPr>
          </w:p>
        </w:tc>
        <w:tc>
          <w:tcPr>
            <w:tcW w:w="660" w:type="pct"/>
            <w:tcBorders>
              <w:left w:val="nil"/>
              <w:bottom w:val="nil"/>
              <w:right w:val="nil"/>
            </w:tcBorders>
            <w:vAlign w:val="center"/>
          </w:tcPr>
          <w:p w:rsidR="000126B0" w:rsidRPr="00B10FEE" w:rsidRDefault="000126B0" w:rsidP="00162A9B">
            <w:pPr>
              <w:pStyle w:val="Body-Table-TextCentred"/>
              <w:keepNext/>
            </w:pPr>
          </w:p>
        </w:tc>
        <w:tc>
          <w:tcPr>
            <w:tcW w:w="2278" w:type="pct"/>
            <w:vMerge/>
            <w:tcBorders>
              <w:left w:val="nil"/>
              <w:bottom w:val="nil"/>
              <w:right w:val="nil"/>
            </w:tcBorders>
            <w:shd w:val="clear" w:color="auto" w:fill="auto"/>
          </w:tcPr>
          <w:p w:rsidR="000126B0" w:rsidRPr="00C36678" w:rsidRDefault="000126B0" w:rsidP="00F2363E">
            <w:pPr>
              <w:pStyle w:val="Body-Table-TextCentred"/>
            </w:pPr>
          </w:p>
        </w:tc>
      </w:tr>
    </w:tbl>
    <w:p w:rsidR="000126B0" w:rsidRPr="00C36678" w:rsidRDefault="000126B0" w:rsidP="00F2363E">
      <w:pPr>
        <w:pStyle w:val="Body-Text"/>
      </w:pPr>
    </w:p>
    <w:p w:rsidR="000126B0" w:rsidRPr="00C36678" w:rsidRDefault="000126B0" w:rsidP="00A954D3">
      <w:pPr>
        <w:pStyle w:val="Body-Text-Smallspace"/>
      </w:pPr>
    </w:p>
    <w:p w:rsidR="000126B0" w:rsidRPr="00C36678" w:rsidRDefault="000126B0" w:rsidP="00A607E8">
      <w:pPr>
        <w:pStyle w:val="Heading2-AR"/>
      </w:pPr>
      <w:r w:rsidRPr="00C36678">
        <w:t>School funding</w:t>
      </w:r>
    </w:p>
    <w:p w:rsidR="000126B0" w:rsidRPr="00C36678" w:rsidRDefault="000126B0" w:rsidP="00A954D3">
      <w:pPr>
        <w:pStyle w:val="Body-Text-Smallspace"/>
      </w:pPr>
    </w:p>
    <w:p w:rsidR="000126B0" w:rsidRPr="00C36678" w:rsidRDefault="000126B0" w:rsidP="00A607E8">
      <w:pPr>
        <w:pStyle w:val="Heading3-AR"/>
      </w:pPr>
      <w:r w:rsidRPr="00C36678">
        <w:t>School income broken down by funding source</w:t>
      </w:r>
    </w:p>
    <w:p w:rsidR="000126B0" w:rsidRPr="00C36678" w:rsidRDefault="000126B0" w:rsidP="00A70B32">
      <w:pPr>
        <w:pStyle w:val="Body-Text"/>
        <w:rPr>
          <w:szCs w:val="19"/>
          <w:lang w:eastAsia="en-US"/>
        </w:rPr>
      </w:pPr>
      <w:r w:rsidRPr="00C36678">
        <w:rPr>
          <w:szCs w:val="19"/>
          <w:lang w:eastAsia="en-US"/>
        </w:rPr>
        <w:t xml:space="preserve">School income, reported by financial year accounting cycle using standardized national methodologies and broken down by funding source is available via the </w:t>
      </w:r>
      <w:hyperlink r:id="rId16" w:history="1">
        <w:r w:rsidRPr="002A09AB">
          <w:rPr>
            <w:rStyle w:val="Hyperlink"/>
            <w:i/>
            <w:szCs w:val="19"/>
            <w:lang w:eastAsia="en-US"/>
          </w:rPr>
          <w:t>My School</w:t>
        </w:r>
      </w:hyperlink>
      <w:r w:rsidRPr="00C36678">
        <w:rPr>
          <w:szCs w:val="19"/>
          <w:lang w:eastAsia="en-US"/>
        </w:rPr>
        <w:t xml:space="preserve"> website at.</w:t>
      </w:r>
    </w:p>
    <w:p w:rsidR="000126B0" w:rsidRPr="00C36678" w:rsidRDefault="000126B0" w:rsidP="00A954D3">
      <w:pPr>
        <w:pStyle w:val="Body-Text-Smallspace"/>
      </w:pPr>
    </w:p>
    <w:p w:rsidR="000126B0" w:rsidRPr="00C36678" w:rsidRDefault="000126B0" w:rsidP="00B81905">
      <w:pPr>
        <w:pStyle w:val="Heading4-AR"/>
      </w:pPr>
      <w:r w:rsidRPr="00C36678">
        <w:t>How to access our income details</w:t>
      </w:r>
    </w:p>
    <w:p w:rsidR="000126B0" w:rsidRPr="00C36678" w:rsidRDefault="000126B0" w:rsidP="00F7219D">
      <w:pPr>
        <w:pStyle w:val="Body-Text-List-Number"/>
        <w:rPr>
          <w:rFonts w:cs="Arial"/>
          <w:lang w:val="en-AU"/>
        </w:rPr>
      </w:pPr>
      <w:r w:rsidRPr="00C36678">
        <w:rPr>
          <w:rFonts w:cs="Arial"/>
          <w:lang w:val="en-AU"/>
        </w:rPr>
        <w:t xml:space="preserve">Click on the </w:t>
      </w:r>
      <w:r w:rsidRPr="00C36678">
        <w:rPr>
          <w:rFonts w:cs="Arial"/>
          <w:i/>
          <w:lang w:val="en-AU"/>
        </w:rPr>
        <w:t>My School</w:t>
      </w:r>
      <w:r w:rsidRPr="00C36678">
        <w:rPr>
          <w:rFonts w:cs="Arial"/>
          <w:lang w:val="en-AU"/>
        </w:rPr>
        <w:t xml:space="preserve"> link </w:t>
      </w:r>
      <w:hyperlink r:id="rId17" w:history="1">
        <w:r w:rsidRPr="00C36678">
          <w:rPr>
            <w:rStyle w:val="Hyperlink"/>
            <w:rFonts w:cs="Arial"/>
            <w:szCs w:val="19"/>
            <w:lang w:val="en-AU"/>
          </w:rPr>
          <w:t>http://www.myschool.edu.au/</w:t>
        </w:r>
      </w:hyperlink>
      <w:r w:rsidRPr="00C36678">
        <w:rPr>
          <w:rFonts w:cs="Arial"/>
          <w:lang w:val="en-AU"/>
        </w:rPr>
        <w:t>.</w:t>
      </w:r>
    </w:p>
    <w:p w:rsidR="000126B0" w:rsidRDefault="000126B0" w:rsidP="00FE778D">
      <w:pPr>
        <w:pStyle w:val="Body-Text-List-Number"/>
        <w:rPr>
          <w:rFonts w:cs="Arial"/>
          <w:lang w:val="en-AU"/>
        </w:rPr>
      </w:pPr>
      <w:r w:rsidRPr="00C36678">
        <w:rPr>
          <w:rFonts w:cs="Arial"/>
          <w:lang w:val="en-AU"/>
        </w:rPr>
        <w:t>Enter the school name or suburb of the school you wish to search.</w:t>
      </w:r>
    </w:p>
    <w:p w:rsidR="000126B0" w:rsidRPr="00FE778D" w:rsidRDefault="003F4216" w:rsidP="00233DDC">
      <w:pPr>
        <w:pStyle w:val="Body-Text"/>
        <w:ind w:firstLine="851"/>
      </w:pPr>
      <w:r w:rsidRPr="00C36678">
        <w:rPr>
          <w:noProof/>
          <w:lang w:eastAsia="zh-TW"/>
        </w:rPr>
        <w:lastRenderedPageBreak/>
        <w:drawing>
          <wp:inline distT="0" distB="0" distL="0" distR="0">
            <wp:extent cx="493395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0126B0" w:rsidRPr="00C36678" w:rsidRDefault="000126B0" w:rsidP="00F7219D">
      <w:pPr>
        <w:pStyle w:val="Body-Text-List-Number"/>
        <w:rPr>
          <w:rFonts w:cs="Arial"/>
          <w:lang w:val="en-AU"/>
        </w:rPr>
      </w:pPr>
      <w:r w:rsidRPr="00C36678">
        <w:rPr>
          <w:rFonts w:cs="Arial"/>
          <w:lang w:val="en-AU"/>
        </w:rPr>
        <w:t>Click on ‘View School Profile’ of the appropriate school to access the school’s profile.</w:t>
      </w:r>
    </w:p>
    <w:p w:rsidR="000126B0" w:rsidRPr="00C36678" w:rsidRDefault="000126B0" w:rsidP="00AD614C">
      <w:pPr>
        <w:pStyle w:val="Body-Text-Smallspace"/>
      </w:pPr>
    </w:p>
    <w:p w:rsidR="000126B0" w:rsidRPr="00C36678" w:rsidRDefault="003F4216" w:rsidP="00225D57">
      <w:pPr>
        <w:pStyle w:val="Body-Text"/>
        <w:ind w:firstLine="851"/>
      </w:pPr>
      <w:r w:rsidRPr="00C36678">
        <w:rPr>
          <w:noProof/>
          <w:lang w:eastAsia="zh-TW"/>
        </w:rPr>
        <w:drawing>
          <wp:inline distT="0" distB="0" distL="0" distR="0">
            <wp:extent cx="1289050" cy="37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9050" cy="374650"/>
                    </a:xfrm>
                    <a:prstGeom prst="rect">
                      <a:avLst/>
                    </a:prstGeom>
                    <a:noFill/>
                    <a:ln>
                      <a:noFill/>
                    </a:ln>
                  </pic:spPr>
                </pic:pic>
              </a:graphicData>
            </a:graphic>
          </wp:inline>
        </w:drawing>
      </w:r>
    </w:p>
    <w:p w:rsidR="000126B0" w:rsidRPr="00C36678" w:rsidRDefault="000126B0" w:rsidP="00B81905">
      <w:pPr>
        <w:pStyle w:val="Body-Text-Smallspace"/>
      </w:pPr>
    </w:p>
    <w:p w:rsidR="000126B0" w:rsidRPr="00C36678" w:rsidRDefault="000126B0" w:rsidP="00225D57">
      <w:pPr>
        <w:pStyle w:val="Body-Text-List-Number"/>
        <w:rPr>
          <w:rFonts w:cs="Arial"/>
          <w:lang w:val="en-AU"/>
        </w:rPr>
      </w:pPr>
      <w:r w:rsidRPr="00C36678">
        <w:rPr>
          <w:rFonts w:cs="Arial"/>
          <w:lang w:val="en-AU"/>
        </w:rPr>
        <w:t>Click on ‘Finances’ and select the appropriate year to view the school financial information.</w:t>
      </w:r>
    </w:p>
    <w:p w:rsidR="000126B0" w:rsidRPr="00C36678" w:rsidRDefault="000126B0" w:rsidP="00AD614C">
      <w:pPr>
        <w:pStyle w:val="Body-Text-Smallspace"/>
      </w:pPr>
    </w:p>
    <w:p w:rsidR="000126B0" w:rsidRPr="00C36678" w:rsidRDefault="003F4216" w:rsidP="00225D57">
      <w:pPr>
        <w:pStyle w:val="Body-Text"/>
        <w:ind w:firstLine="851"/>
      </w:pPr>
      <w:r w:rsidRPr="00C36678">
        <w:rPr>
          <w:noProof/>
          <w:lang w:eastAsia="zh-TW"/>
        </w:rPr>
        <w:drawing>
          <wp:inline distT="0" distB="0" distL="0" distR="0">
            <wp:extent cx="49276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0" cy="285750"/>
                    </a:xfrm>
                    <a:prstGeom prst="rect">
                      <a:avLst/>
                    </a:prstGeom>
                    <a:noFill/>
                    <a:ln>
                      <a:noFill/>
                    </a:ln>
                  </pic:spPr>
                </pic:pic>
              </a:graphicData>
            </a:graphic>
          </wp:inline>
        </w:drawing>
      </w:r>
    </w:p>
    <w:p w:rsidR="000126B0" w:rsidRPr="00C36678" w:rsidRDefault="000126B0" w:rsidP="00B81905">
      <w:pPr>
        <w:pStyle w:val="Body-Text-Smallspace"/>
      </w:pPr>
    </w:p>
    <w:p w:rsidR="000126B0" w:rsidRPr="00C36678" w:rsidRDefault="000126B0" w:rsidP="00754AA3">
      <w:pPr>
        <w:pStyle w:val="Body-Text-Note"/>
      </w:pPr>
      <w:r w:rsidRPr="00C36678">
        <w:t>Note:</w:t>
      </w:r>
    </w:p>
    <w:p w:rsidR="000126B0" w:rsidRPr="00C36678" w:rsidRDefault="000126B0" w:rsidP="00754AA3">
      <w:pPr>
        <w:pStyle w:val="Body-Text-Note"/>
      </w:pPr>
      <w:r w:rsidRPr="00C36678">
        <w:t>If you are unable to access the internet, please contact the school for a hard copy of the school’s financial information.</w:t>
      </w:r>
    </w:p>
    <w:p w:rsidR="000126B0" w:rsidRPr="00C36678" w:rsidRDefault="000126B0" w:rsidP="00026640">
      <w:pPr>
        <w:pStyle w:val="Body-Text"/>
        <w:rPr>
          <w:lang w:eastAsia="en-US"/>
        </w:rPr>
      </w:pPr>
    </w:p>
    <w:tbl>
      <w:tblPr>
        <w:tblW w:w="4897" w:type="pct"/>
        <w:tblInd w:w="108" w:type="dxa"/>
        <w:shd w:val="clear" w:color="auto" w:fill="2B5CAA"/>
        <w:tblLayout w:type="fixed"/>
        <w:tblLook w:val="0000" w:firstRow="0" w:lastRow="0" w:firstColumn="0" w:lastColumn="0" w:noHBand="0" w:noVBand="0"/>
      </w:tblPr>
      <w:tblGrid>
        <w:gridCol w:w="9439"/>
      </w:tblGrid>
      <w:tr w:rsidR="000126B0" w:rsidRPr="00C36678" w:rsidTr="00AD614C">
        <w:tc>
          <w:tcPr>
            <w:tcW w:w="5000" w:type="pct"/>
            <w:shd w:val="clear" w:color="auto" w:fill="003D69"/>
          </w:tcPr>
          <w:p w:rsidR="000126B0" w:rsidRPr="00C36678" w:rsidRDefault="000126B0" w:rsidP="00907B51">
            <w:pPr>
              <w:pStyle w:val="Heading1-AR"/>
            </w:pPr>
            <w:r w:rsidRPr="00C36678">
              <w:br w:type="page"/>
            </w:r>
            <w:r w:rsidRPr="00C36678">
              <w:rPr>
                <w:rFonts w:eastAsia="SimSun"/>
                <w:color w:val="auto"/>
                <w:sz w:val="22"/>
                <w:szCs w:val="22"/>
              </w:rPr>
              <w:br w:type="page"/>
            </w:r>
            <w:r w:rsidRPr="00C36678">
              <w:t>Our staff profile</w:t>
            </w:r>
          </w:p>
        </w:tc>
      </w:tr>
      <w:tr w:rsidR="000126B0" w:rsidRPr="00C36678" w:rsidTr="00AD614C">
        <w:tc>
          <w:tcPr>
            <w:tcW w:w="5000" w:type="pct"/>
            <w:shd w:val="clear" w:color="auto" w:fill="E1E4E7"/>
          </w:tcPr>
          <w:p w:rsidR="000126B0" w:rsidRPr="00C36678" w:rsidRDefault="000126B0" w:rsidP="0063618A">
            <w:pPr>
              <w:pStyle w:val="Heading12-AR"/>
            </w:pPr>
          </w:p>
        </w:tc>
      </w:tr>
    </w:tbl>
    <w:p w:rsidR="000126B0" w:rsidRPr="00C36678" w:rsidRDefault="000126B0" w:rsidP="00026640">
      <w:pPr>
        <w:pStyle w:val="Body-Text"/>
      </w:pPr>
    </w:p>
    <w:p w:rsidR="000126B0" w:rsidRPr="00C36678" w:rsidRDefault="000126B0" w:rsidP="00A954D3">
      <w:pPr>
        <w:pStyle w:val="Body-Text-Smallspace"/>
      </w:pPr>
    </w:p>
    <w:p w:rsidR="000126B0" w:rsidRPr="00C36678" w:rsidRDefault="000126B0" w:rsidP="00026640">
      <w:pPr>
        <w:pStyle w:val="Heading2-AR"/>
      </w:pPr>
      <w:r w:rsidRPr="00C36678">
        <w:t>Workforce composition</w:t>
      </w:r>
    </w:p>
    <w:p w:rsidR="000126B0" w:rsidRPr="00C36678" w:rsidRDefault="000126B0" w:rsidP="00A954D3">
      <w:pPr>
        <w:pStyle w:val="Body-Text-Smallspace"/>
      </w:pPr>
    </w:p>
    <w:p w:rsidR="000126B0" w:rsidRPr="00C36678" w:rsidRDefault="000126B0" w:rsidP="00537922">
      <w:pPr>
        <w:pStyle w:val="Heading3-AR"/>
      </w:pPr>
      <w:r w:rsidRPr="00C36678">
        <w:t>Staff composition, including Indigenous staff</w:t>
      </w:r>
    </w:p>
    <w:p w:rsidR="000126B0" w:rsidRPr="00C36678" w:rsidRDefault="000126B0" w:rsidP="00456FE9">
      <w:pPr>
        <w:pStyle w:val="Body-Text-Smallspace"/>
      </w:pPr>
    </w:p>
    <w:p w:rsidR="000126B0" w:rsidRPr="00C36678" w:rsidRDefault="000126B0" w:rsidP="00B81905">
      <w:pPr>
        <w:pStyle w:val="TableCaption-AR"/>
      </w:pPr>
      <w:r w:rsidRPr="00C36678">
        <w:t>Table 8: Workforce composition for this school</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11"/>
        <w:gridCol w:w="2411"/>
        <w:gridCol w:w="2411"/>
        <w:gridCol w:w="2412"/>
      </w:tblGrid>
      <w:tr w:rsidR="000126B0" w:rsidRPr="00C36678" w:rsidTr="00AD614C">
        <w:trPr>
          <w:trHeight w:val="340"/>
          <w:tblHeader/>
        </w:trPr>
        <w:tc>
          <w:tcPr>
            <w:tcW w:w="2411" w:type="dxa"/>
            <w:shd w:val="clear" w:color="auto" w:fill="C1ECFF"/>
            <w:vAlign w:val="center"/>
          </w:tcPr>
          <w:p w:rsidR="000126B0" w:rsidRPr="00C36678" w:rsidRDefault="000126B0" w:rsidP="00162A9B">
            <w:pPr>
              <w:pStyle w:val="Body-Table-Heading"/>
              <w:keepNext/>
            </w:pPr>
            <w:r w:rsidRPr="00C36678">
              <w:t>Description</w:t>
            </w:r>
          </w:p>
        </w:tc>
        <w:tc>
          <w:tcPr>
            <w:tcW w:w="2411" w:type="dxa"/>
            <w:shd w:val="clear" w:color="auto" w:fill="C1ECFF"/>
            <w:vAlign w:val="center"/>
          </w:tcPr>
          <w:p w:rsidR="000126B0" w:rsidRPr="00C36678" w:rsidRDefault="000126B0" w:rsidP="00162A9B">
            <w:pPr>
              <w:pStyle w:val="Body-Table-HeadingCentred"/>
              <w:keepNext/>
            </w:pPr>
            <w:r w:rsidRPr="00C36678">
              <w:t>Teaching staff*</w:t>
            </w:r>
          </w:p>
        </w:tc>
        <w:tc>
          <w:tcPr>
            <w:tcW w:w="2411" w:type="dxa"/>
            <w:shd w:val="clear" w:color="auto" w:fill="C1ECFF"/>
            <w:vAlign w:val="center"/>
          </w:tcPr>
          <w:p w:rsidR="000126B0" w:rsidRPr="00C36678" w:rsidRDefault="000126B0" w:rsidP="00162A9B">
            <w:pPr>
              <w:pStyle w:val="Body-Table-HeadingCentred"/>
              <w:keepNext/>
            </w:pPr>
            <w:r w:rsidRPr="00C36678">
              <w:t>Non-teaching staff</w:t>
            </w:r>
          </w:p>
        </w:tc>
        <w:tc>
          <w:tcPr>
            <w:tcW w:w="2412" w:type="dxa"/>
            <w:shd w:val="clear" w:color="auto" w:fill="C1ECFF"/>
            <w:vAlign w:val="center"/>
          </w:tcPr>
          <w:p w:rsidR="000126B0" w:rsidRPr="00C36678" w:rsidRDefault="000126B0" w:rsidP="00162A9B">
            <w:pPr>
              <w:pStyle w:val="Body-Table-HeadingCentred"/>
              <w:keepNext/>
            </w:pPr>
            <w:r w:rsidRPr="00C36678">
              <w:t>Indigenous** staff</w:t>
            </w:r>
          </w:p>
        </w:tc>
      </w:tr>
      <w:tr w:rsidR="000126B0" w:rsidRPr="00C36678" w:rsidTr="00AD614C">
        <w:trPr>
          <w:trHeight w:val="340"/>
        </w:trPr>
        <w:tc>
          <w:tcPr>
            <w:tcW w:w="2411" w:type="dxa"/>
            <w:shd w:val="clear" w:color="auto" w:fill="auto"/>
            <w:vAlign w:val="center"/>
          </w:tcPr>
          <w:p w:rsidR="000126B0" w:rsidRPr="00C36678" w:rsidRDefault="000126B0" w:rsidP="00162A9B">
            <w:pPr>
              <w:pStyle w:val="Body-Table-Text"/>
              <w:keepNext/>
              <w:rPr>
                <w:rFonts w:eastAsia="Meiryo"/>
              </w:rPr>
            </w:pPr>
            <w:r w:rsidRPr="00C36678">
              <w:rPr>
                <w:rFonts w:eastAsia="Meiryo"/>
              </w:rPr>
              <w:t>Headcounts</w:t>
            </w:r>
          </w:p>
        </w:tc>
        <w:tc>
          <w:tcPr>
            <w:tcW w:w="2411" w:type="dxa"/>
            <w:shd w:val="clear" w:color="auto" w:fill="auto"/>
            <w:vAlign w:val="center"/>
          </w:tcPr>
          <w:p w:rsidR="000126B0" w:rsidRPr="00C36678" w:rsidRDefault="000126B0" w:rsidP="00286407">
            <w:pPr>
              <w:pStyle w:val="Body-Table-TextCentred"/>
              <w:keepNext/>
            </w:pPr>
            <w:r w:rsidRPr="00211E08">
              <w:rPr>
                <w:noProof/>
              </w:rPr>
              <w:t>51</w:t>
            </w:r>
          </w:p>
        </w:tc>
        <w:tc>
          <w:tcPr>
            <w:tcW w:w="2411" w:type="dxa"/>
            <w:shd w:val="clear" w:color="auto" w:fill="auto"/>
            <w:vAlign w:val="center"/>
          </w:tcPr>
          <w:p w:rsidR="000126B0" w:rsidRPr="00C36678" w:rsidRDefault="000126B0" w:rsidP="00162A9B">
            <w:pPr>
              <w:pStyle w:val="Body-Table-TextCentred"/>
              <w:keepNext/>
            </w:pPr>
            <w:r w:rsidRPr="00211E08">
              <w:rPr>
                <w:noProof/>
              </w:rPr>
              <w:t>72</w:t>
            </w:r>
          </w:p>
        </w:tc>
        <w:tc>
          <w:tcPr>
            <w:tcW w:w="2412" w:type="dxa"/>
            <w:shd w:val="clear" w:color="auto" w:fill="auto"/>
            <w:vAlign w:val="center"/>
          </w:tcPr>
          <w:p w:rsidR="000126B0" w:rsidRPr="00C36678" w:rsidRDefault="000126B0" w:rsidP="00214F8D">
            <w:pPr>
              <w:pStyle w:val="Body-Table-TextCentred"/>
              <w:keepNext/>
            </w:pPr>
            <w:r w:rsidRPr="00211E08">
              <w:rPr>
                <w:noProof/>
              </w:rPr>
              <w:t>5</w:t>
            </w:r>
          </w:p>
        </w:tc>
      </w:tr>
      <w:tr w:rsidR="000126B0" w:rsidRPr="00C36678" w:rsidTr="00AD614C">
        <w:trPr>
          <w:trHeight w:val="340"/>
        </w:trPr>
        <w:tc>
          <w:tcPr>
            <w:tcW w:w="2411" w:type="dxa"/>
            <w:shd w:val="clear" w:color="auto" w:fill="auto"/>
            <w:vAlign w:val="center"/>
          </w:tcPr>
          <w:p w:rsidR="000126B0" w:rsidRPr="00C36678" w:rsidRDefault="000126B0" w:rsidP="00162A9B">
            <w:pPr>
              <w:pStyle w:val="Body-Table-Text"/>
              <w:keepNext/>
              <w:rPr>
                <w:rFonts w:eastAsia="Meiryo"/>
              </w:rPr>
            </w:pPr>
            <w:r w:rsidRPr="00C36678">
              <w:rPr>
                <w:rFonts w:eastAsia="Meiryo"/>
              </w:rPr>
              <w:t>Full-time equivalents</w:t>
            </w:r>
          </w:p>
        </w:tc>
        <w:tc>
          <w:tcPr>
            <w:tcW w:w="2411" w:type="dxa"/>
            <w:shd w:val="clear" w:color="auto" w:fill="auto"/>
            <w:vAlign w:val="center"/>
          </w:tcPr>
          <w:p w:rsidR="000126B0" w:rsidRPr="00C36678" w:rsidRDefault="000126B0" w:rsidP="00162A9B">
            <w:pPr>
              <w:pStyle w:val="Body-Table-TextCentred"/>
              <w:keepNext/>
            </w:pPr>
            <w:r w:rsidRPr="00211E08">
              <w:rPr>
                <w:noProof/>
              </w:rPr>
              <w:t>43</w:t>
            </w:r>
          </w:p>
        </w:tc>
        <w:tc>
          <w:tcPr>
            <w:tcW w:w="2411" w:type="dxa"/>
            <w:shd w:val="clear" w:color="auto" w:fill="auto"/>
            <w:vAlign w:val="center"/>
          </w:tcPr>
          <w:p w:rsidR="000126B0" w:rsidRPr="00C36678" w:rsidRDefault="000126B0" w:rsidP="00162A9B">
            <w:pPr>
              <w:pStyle w:val="Body-Table-TextCentred"/>
              <w:keepNext/>
            </w:pPr>
            <w:r w:rsidRPr="00211E08">
              <w:rPr>
                <w:noProof/>
              </w:rPr>
              <w:t>43</w:t>
            </w:r>
          </w:p>
        </w:tc>
        <w:tc>
          <w:tcPr>
            <w:tcW w:w="2412" w:type="dxa"/>
            <w:shd w:val="clear" w:color="auto" w:fill="auto"/>
            <w:vAlign w:val="center"/>
          </w:tcPr>
          <w:p w:rsidR="000126B0" w:rsidRPr="00C36678" w:rsidRDefault="000126B0" w:rsidP="00214F8D">
            <w:pPr>
              <w:pStyle w:val="Body-Table-TextCentred"/>
              <w:keepNext/>
            </w:pPr>
            <w:r w:rsidRPr="00211E08">
              <w:rPr>
                <w:noProof/>
              </w:rPr>
              <w:t>&lt;5</w:t>
            </w:r>
          </w:p>
        </w:tc>
      </w:tr>
      <w:tr w:rsidR="000126B0" w:rsidRPr="00C36678" w:rsidTr="00AD614C">
        <w:tblPrEx>
          <w:tblCellMar>
            <w:top w:w="28" w:type="dxa"/>
          </w:tblCellMar>
          <w:tblLook w:val="01E0" w:firstRow="1" w:lastRow="1" w:firstColumn="1" w:lastColumn="1" w:noHBand="0" w:noVBand="0"/>
        </w:tblPrEx>
        <w:trPr>
          <w:trHeight w:val="300"/>
        </w:trPr>
        <w:tc>
          <w:tcPr>
            <w:tcW w:w="9645" w:type="dxa"/>
            <w:gridSpan w:val="4"/>
            <w:tcBorders>
              <w:left w:val="nil"/>
              <w:bottom w:val="nil"/>
              <w:right w:val="nil"/>
            </w:tcBorders>
            <w:shd w:val="clear" w:color="auto" w:fill="auto"/>
            <w:vAlign w:val="center"/>
          </w:tcPr>
          <w:p w:rsidR="000126B0" w:rsidRPr="00C36678" w:rsidRDefault="000126B0" w:rsidP="00162A9B">
            <w:pPr>
              <w:pStyle w:val="Body-Text-Smallspace"/>
              <w:rPr>
                <w:rFonts w:eastAsia="Meiryo"/>
              </w:rPr>
            </w:pPr>
          </w:p>
          <w:p w:rsidR="000126B0" w:rsidRPr="00C36678" w:rsidRDefault="000126B0" w:rsidP="00162A9B">
            <w:pPr>
              <w:pStyle w:val="Body-Table-Note"/>
              <w:keepNext/>
            </w:pPr>
            <w:r w:rsidRPr="00C36678">
              <w:t>*Teaching staff includes School Leaders.</w:t>
            </w:r>
          </w:p>
          <w:p w:rsidR="000126B0" w:rsidRPr="00C36678" w:rsidRDefault="000126B0"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0126B0" w:rsidRPr="00C36678" w:rsidRDefault="000126B0" w:rsidP="00A954D3">
      <w:pPr>
        <w:pStyle w:val="Body-Text-Smallspace"/>
      </w:pPr>
    </w:p>
    <w:p w:rsidR="000126B0" w:rsidRPr="00C36678" w:rsidRDefault="000126B0" w:rsidP="00BB159F">
      <w:pPr>
        <w:pStyle w:val="Heading3-AR"/>
        <w:rPr>
          <w:lang w:eastAsia="en-US"/>
        </w:rPr>
      </w:pPr>
      <w:r w:rsidRPr="00C36678">
        <w:rPr>
          <w:lang w:eastAsia="en-US"/>
        </w:rPr>
        <w:t>Qualification of all teachers</w:t>
      </w:r>
    </w:p>
    <w:p w:rsidR="000126B0" w:rsidRPr="00C36678" w:rsidRDefault="000126B0" w:rsidP="00456FE9">
      <w:pPr>
        <w:pStyle w:val="Body-Text-Smallspace"/>
      </w:pPr>
    </w:p>
    <w:p w:rsidR="000126B0" w:rsidRPr="00C36678" w:rsidRDefault="000126B0" w:rsidP="00EE2F4E">
      <w:pPr>
        <w:pStyle w:val="TableCaption-AR"/>
      </w:pPr>
      <w:r w:rsidRPr="00C36678">
        <w:t>Table 9: Teacher qualifications for classroom teachers and school leaders at this school</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835"/>
        <w:gridCol w:w="2552"/>
        <w:gridCol w:w="4272"/>
      </w:tblGrid>
      <w:tr w:rsidR="000126B0" w:rsidRPr="00C36678" w:rsidTr="00AD614C">
        <w:trPr>
          <w:trHeight w:val="340"/>
          <w:tblHeader/>
        </w:trPr>
        <w:tc>
          <w:tcPr>
            <w:tcW w:w="2835" w:type="dxa"/>
            <w:shd w:val="clear" w:color="auto" w:fill="C1ECFF"/>
            <w:vAlign w:val="center"/>
          </w:tcPr>
          <w:p w:rsidR="000126B0" w:rsidRPr="00C36678" w:rsidRDefault="000126B0" w:rsidP="00162A9B">
            <w:pPr>
              <w:pStyle w:val="Body-Table-Heading"/>
              <w:keepNext/>
            </w:pPr>
            <w:r w:rsidRPr="00C36678">
              <w:t>Highest level of qualification</w:t>
            </w:r>
          </w:p>
        </w:tc>
        <w:tc>
          <w:tcPr>
            <w:tcW w:w="2552" w:type="dxa"/>
            <w:shd w:val="clear" w:color="auto" w:fill="C1ECFF"/>
            <w:vAlign w:val="center"/>
          </w:tcPr>
          <w:p w:rsidR="000126B0" w:rsidRPr="00C36678" w:rsidRDefault="000126B0" w:rsidP="00162A9B">
            <w:pPr>
              <w:pStyle w:val="Body-Table-HeadingCentred"/>
              <w:keepNext/>
            </w:pPr>
            <w:r w:rsidRPr="00C36678">
              <w:t>Number of qualifications</w:t>
            </w:r>
          </w:p>
        </w:tc>
        <w:tc>
          <w:tcPr>
            <w:tcW w:w="4272" w:type="dxa"/>
            <w:vMerge w:val="restart"/>
            <w:tcBorders>
              <w:top w:val="nil"/>
              <w:bottom w:val="nil"/>
              <w:right w:val="nil"/>
            </w:tcBorders>
            <w:shd w:val="clear" w:color="auto" w:fill="auto"/>
          </w:tcPr>
          <w:p w:rsidR="000126B0" w:rsidRPr="00C36678" w:rsidRDefault="000126B0" w:rsidP="00162A9B">
            <w:pPr>
              <w:pStyle w:val="Body-Text-Smallspace"/>
            </w:pPr>
          </w:p>
          <w:p w:rsidR="000126B0" w:rsidRPr="00C36678" w:rsidRDefault="000126B0" w:rsidP="00162A9B">
            <w:pPr>
              <w:pStyle w:val="Body-Table-Note"/>
              <w:keepNext/>
            </w:pPr>
            <w:r w:rsidRPr="00C36678">
              <w:t>*Graduate Diploma etc. includes Graduate Diploma, Bachelor Honours Degree, and Graduate Certificate.</w:t>
            </w:r>
          </w:p>
        </w:tc>
      </w:tr>
      <w:tr w:rsidR="000126B0" w:rsidRPr="00C36678" w:rsidTr="00AD614C">
        <w:trPr>
          <w:trHeight w:val="340"/>
        </w:trPr>
        <w:tc>
          <w:tcPr>
            <w:tcW w:w="2835" w:type="dxa"/>
            <w:shd w:val="clear" w:color="auto" w:fill="auto"/>
            <w:vAlign w:val="center"/>
          </w:tcPr>
          <w:p w:rsidR="000126B0" w:rsidRPr="00C36678" w:rsidRDefault="000126B0" w:rsidP="00162A9B">
            <w:pPr>
              <w:pStyle w:val="Body-Table-Text"/>
              <w:keepNext/>
              <w:rPr>
                <w:rFonts w:eastAsia="Meiryo"/>
              </w:rPr>
            </w:pPr>
            <w:r w:rsidRPr="00C36678">
              <w:rPr>
                <w:rFonts w:eastAsia="Meiryo"/>
              </w:rPr>
              <w:t>Doctorate</w:t>
            </w:r>
          </w:p>
        </w:tc>
        <w:tc>
          <w:tcPr>
            <w:tcW w:w="2552" w:type="dxa"/>
            <w:shd w:val="clear" w:color="auto" w:fill="auto"/>
            <w:vAlign w:val="center"/>
          </w:tcPr>
          <w:p w:rsidR="000126B0" w:rsidRPr="00C36678" w:rsidRDefault="000126B0" w:rsidP="00162A9B">
            <w:pPr>
              <w:pStyle w:val="Body-Table-TextCentred"/>
              <w:keepNext/>
            </w:pPr>
          </w:p>
        </w:tc>
        <w:tc>
          <w:tcPr>
            <w:tcW w:w="4272" w:type="dxa"/>
            <w:vMerge/>
            <w:tcBorders>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AD614C">
        <w:trPr>
          <w:trHeight w:val="340"/>
        </w:trPr>
        <w:tc>
          <w:tcPr>
            <w:tcW w:w="2835" w:type="dxa"/>
            <w:shd w:val="clear" w:color="auto" w:fill="auto"/>
            <w:vAlign w:val="center"/>
          </w:tcPr>
          <w:p w:rsidR="000126B0" w:rsidRPr="00C36678" w:rsidRDefault="000126B0" w:rsidP="00162A9B">
            <w:pPr>
              <w:pStyle w:val="Body-Table-Text"/>
              <w:keepNext/>
              <w:rPr>
                <w:rFonts w:eastAsia="Meiryo"/>
              </w:rPr>
            </w:pPr>
            <w:r w:rsidRPr="00C36678">
              <w:rPr>
                <w:rFonts w:eastAsia="Meiryo"/>
              </w:rPr>
              <w:t>Masters</w:t>
            </w:r>
          </w:p>
        </w:tc>
        <w:tc>
          <w:tcPr>
            <w:tcW w:w="2552" w:type="dxa"/>
            <w:shd w:val="clear" w:color="auto" w:fill="auto"/>
            <w:vAlign w:val="center"/>
          </w:tcPr>
          <w:p w:rsidR="000126B0" w:rsidRPr="00C36678" w:rsidRDefault="004648F9" w:rsidP="00162A9B">
            <w:pPr>
              <w:pStyle w:val="Body-Table-TextCentred"/>
              <w:keepNext/>
            </w:pPr>
            <w:r>
              <w:t>7</w:t>
            </w:r>
          </w:p>
        </w:tc>
        <w:tc>
          <w:tcPr>
            <w:tcW w:w="4272" w:type="dxa"/>
            <w:vMerge/>
            <w:tcBorders>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AD614C">
        <w:trPr>
          <w:trHeight w:val="340"/>
        </w:trPr>
        <w:tc>
          <w:tcPr>
            <w:tcW w:w="2835" w:type="dxa"/>
            <w:shd w:val="clear" w:color="auto" w:fill="auto"/>
            <w:vAlign w:val="center"/>
          </w:tcPr>
          <w:p w:rsidR="000126B0" w:rsidRPr="00C36678" w:rsidRDefault="000126B0" w:rsidP="00162A9B">
            <w:pPr>
              <w:pStyle w:val="Body-Table-Text"/>
              <w:keepNext/>
              <w:rPr>
                <w:rFonts w:eastAsia="Meiryo"/>
              </w:rPr>
            </w:pPr>
            <w:r w:rsidRPr="00C36678">
              <w:rPr>
                <w:rFonts w:eastAsia="Meiryo"/>
              </w:rPr>
              <w:t>Graduate Diploma etc.*</w:t>
            </w:r>
          </w:p>
        </w:tc>
        <w:tc>
          <w:tcPr>
            <w:tcW w:w="2552" w:type="dxa"/>
            <w:shd w:val="clear" w:color="auto" w:fill="auto"/>
            <w:vAlign w:val="center"/>
          </w:tcPr>
          <w:p w:rsidR="000126B0" w:rsidRPr="00C36678" w:rsidRDefault="004648F9" w:rsidP="00162A9B">
            <w:pPr>
              <w:pStyle w:val="Body-Table-TextCentred"/>
              <w:keepNext/>
            </w:pPr>
            <w:r>
              <w:t>3</w:t>
            </w:r>
          </w:p>
        </w:tc>
        <w:tc>
          <w:tcPr>
            <w:tcW w:w="4272" w:type="dxa"/>
            <w:vMerge/>
            <w:tcBorders>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AD614C">
        <w:trPr>
          <w:trHeight w:val="340"/>
        </w:trPr>
        <w:tc>
          <w:tcPr>
            <w:tcW w:w="2835" w:type="dxa"/>
            <w:shd w:val="clear" w:color="auto" w:fill="auto"/>
            <w:vAlign w:val="center"/>
          </w:tcPr>
          <w:p w:rsidR="000126B0" w:rsidRPr="00C36678" w:rsidRDefault="000126B0" w:rsidP="00162A9B">
            <w:pPr>
              <w:pStyle w:val="Body-Table-Text"/>
              <w:keepNext/>
              <w:rPr>
                <w:rFonts w:eastAsia="Meiryo"/>
              </w:rPr>
            </w:pPr>
            <w:r w:rsidRPr="00C36678">
              <w:rPr>
                <w:rFonts w:eastAsia="Meiryo"/>
              </w:rPr>
              <w:t>Bachelor degree</w:t>
            </w:r>
          </w:p>
        </w:tc>
        <w:tc>
          <w:tcPr>
            <w:tcW w:w="2552" w:type="dxa"/>
            <w:shd w:val="clear" w:color="auto" w:fill="auto"/>
            <w:vAlign w:val="center"/>
          </w:tcPr>
          <w:p w:rsidR="000126B0" w:rsidRPr="00C36678" w:rsidRDefault="004648F9" w:rsidP="00162A9B">
            <w:pPr>
              <w:pStyle w:val="Body-Table-TextCentred"/>
              <w:keepNext/>
            </w:pPr>
            <w:r>
              <w:t>41</w:t>
            </w:r>
          </w:p>
        </w:tc>
        <w:tc>
          <w:tcPr>
            <w:tcW w:w="4272" w:type="dxa"/>
            <w:vMerge/>
            <w:tcBorders>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AD614C">
        <w:trPr>
          <w:trHeight w:val="340"/>
        </w:trPr>
        <w:tc>
          <w:tcPr>
            <w:tcW w:w="2835" w:type="dxa"/>
            <w:shd w:val="clear" w:color="auto" w:fill="auto"/>
            <w:vAlign w:val="center"/>
          </w:tcPr>
          <w:p w:rsidR="000126B0" w:rsidRPr="00C36678" w:rsidRDefault="000126B0" w:rsidP="00162A9B">
            <w:pPr>
              <w:pStyle w:val="Body-Table-Text"/>
              <w:keepNext/>
              <w:rPr>
                <w:rFonts w:eastAsia="Meiryo"/>
              </w:rPr>
            </w:pPr>
            <w:r w:rsidRPr="00C36678">
              <w:rPr>
                <w:rFonts w:eastAsia="Meiryo"/>
              </w:rPr>
              <w:t>Diploma</w:t>
            </w:r>
          </w:p>
        </w:tc>
        <w:tc>
          <w:tcPr>
            <w:tcW w:w="2552" w:type="dxa"/>
            <w:shd w:val="clear" w:color="auto" w:fill="auto"/>
            <w:vAlign w:val="center"/>
          </w:tcPr>
          <w:p w:rsidR="000126B0" w:rsidRPr="00C36678" w:rsidRDefault="000126B0" w:rsidP="00162A9B">
            <w:pPr>
              <w:pStyle w:val="Body-Table-TextCentred"/>
              <w:keepNext/>
            </w:pPr>
          </w:p>
        </w:tc>
        <w:tc>
          <w:tcPr>
            <w:tcW w:w="4272" w:type="dxa"/>
            <w:vMerge/>
            <w:tcBorders>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AD614C">
        <w:trPr>
          <w:trHeight w:val="340"/>
        </w:trPr>
        <w:tc>
          <w:tcPr>
            <w:tcW w:w="2835" w:type="dxa"/>
            <w:tcBorders>
              <w:bottom w:val="single" w:sz="4" w:space="0" w:color="808080"/>
            </w:tcBorders>
            <w:shd w:val="clear" w:color="auto" w:fill="auto"/>
            <w:vAlign w:val="center"/>
          </w:tcPr>
          <w:p w:rsidR="000126B0" w:rsidRPr="00C36678" w:rsidRDefault="000126B0" w:rsidP="00162A9B">
            <w:pPr>
              <w:pStyle w:val="Body-Table-Text"/>
              <w:keepNext/>
              <w:rPr>
                <w:rFonts w:eastAsia="Meiryo"/>
              </w:rPr>
            </w:pPr>
            <w:r w:rsidRPr="00C36678">
              <w:rPr>
                <w:rFonts w:eastAsia="Meiryo"/>
              </w:rPr>
              <w:t>Certificate</w:t>
            </w:r>
          </w:p>
        </w:tc>
        <w:tc>
          <w:tcPr>
            <w:tcW w:w="2552" w:type="dxa"/>
            <w:tcBorders>
              <w:bottom w:val="single" w:sz="4" w:space="0" w:color="808080"/>
            </w:tcBorders>
            <w:shd w:val="clear" w:color="auto" w:fill="auto"/>
            <w:vAlign w:val="center"/>
          </w:tcPr>
          <w:p w:rsidR="000126B0" w:rsidRPr="00C36678" w:rsidRDefault="000126B0" w:rsidP="00162A9B">
            <w:pPr>
              <w:pStyle w:val="Body-Table-TextCentred"/>
              <w:keepNext/>
            </w:pPr>
          </w:p>
        </w:tc>
        <w:tc>
          <w:tcPr>
            <w:tcW w:w="4272" w:type="dxa"/>
            <w:vMerge/>
            <w:tcBorders>
              <w:bottom w:val="nil"/>
              <w:right w:val="nil"/>
            </w:tcBorders>
            <w:shd w:val="clear" w:color="auto" w:fill="auto"/>
          </w:tcPr>
          <w:p w:rsidR="000126B0" w:rsidRPr="00C36678" w:rsidRDefault="000126B0" w:rsidP="00162A9B">
            <w:pPr>
              <w:pStyle w:val="Body-Table-Text"/>
              <w:keepNext/>
              <w:rPr>
                <w:rFonts w:eastAsia="Meiryo"/>
              </w:rPr>
            </w:pPr>
          </w:p>
        </w:tc>
      </w:tr>
    </w:tbl>
    <w:p w:rsidR="000126B0" w:rsidRPr="00C36678" w:rsidRDefault="000126B0" w:rsidP="00A954D3">
      <w:pPr>
        <w:pStyle w:val="Body-Text"/>
      </w:pPr>
    </w:p>
    <w:p w:rsidR="000126B0" w:rsidRPr="00C36678" w:rsidRDefault="000126B0" w:rsidP="00A954D3">
      <w:pPr>
        <w:pStyle w:val="Body-Text-Smallspace"/>
      </w:pPr>
    </w:p>
    <w:p w:rsidR="000126B0" w:rsidRPr="00C36678" w:rsidRDefault="000126B0" w:rsidP="00582ECE">
      <w:pPr>
        <w:pStyle w:val="Heading2-AR"/>
      </w:pPr>
      <w:r w:rsidRPr="00C36678">
        <w:t>Professional development</w:t>
      </w:r>
    </w:p>
    <w:p w:rsidR="000126B0" w:rsidRPr="00C36678" w:rsidRDefault="000126B0" w:rsidP="00A954D3">
      <w:pPr>
        <w:pStyle w:val="Body-Text-Smallspace"/>
      </w:pPr>
    </w:p>
    <w:p w:rsidR="000126B0" w:rsidRPr="00C36678" w:rsidRDefault="000126B0" w:rsidP="00582ECE">
      <w:pPr>
        <w:pStyle w:val="Heading3-AR"/>
        <w:rPr>
          <w:lang w:eastAsia="en-US"/>
        </w:rPr>
      </w:pPr>
      <w:r w:rsidRPr="00C36678">
        <w:rPr>
          <w:lang w:eastAsia="en-US"/>
        </w:rPr>
        <w:t>Expenditure on and teacher participation in professional development</w:t>
      </w:r>
    </w:p>
    <w:p w:rsidR="000126B0" w:rsidRPr="00C36678" w:rsidRDefault="000126B0" w:rsidP="00FF7F06">
      <w:pPr>
        <w:pStyle w:val="Body-Text"/>
        <w:jc w:val="both"/>
        <w:rPr>
          <w:lang w:eastAsia="en-US"/>
        </w:rPr>
      </w:pPr>
      <w:r w:rsidRPr="00C36678">
        <w:rPr>
          <w:lang w:eastAsia="en-US"/>
        </w:rPr>
        <w:t xml:space="preserve">The total funds </w:t>
      </w:r>
      <w:r w:rsidRPr="00A64DF5">
        <w:rPr>
          <w:szCs w:val="19"/>
          <w:lang w:eastAsia="en-US"/>
        </w:rPr>
        <w:t>expended</w:t>
      </w:r>
      <w:r w:rsidRPr="00C36678">
        <w:rPr>
          <w:lang w:eastAsia="en-US"/>
        </w:rPr>
        <w:t xml:space="preserve"> on teacher profess</w:t>
      </w:r>
      <w:r w:rsidR="00A64DF5">
        <w:rPr>
          <w:lang w:eastAsia="en-US"/>
        </w:rPr>
        <w:t>ional development in 2018 were $</w:t>
      </w:r>
      <w:r w:rsidR="00A64DF5">
        <w:t xml:space="preserve">17885.58.  In addition, up to approximately $43450 </w:t>
      </w:r>
      <w:r w:rsidR="004648F9">
        <w:t xml:space="preserve">Investing for School funds </w:t>
      </w:r>
      <w:r w:rsidR="00A64DF5">
        <w:t>was spent on teachers engaging with other teachers in regards to our Explicit I</w:t>
      </w:r>
      <w:r w:rsidR="00112C49">
        <w:t xml:space="preserve">mprovement Priorities of </w:t>
      </w:r>
      <w:r w:rsidR="004648F9">
        <w:t xml:space="preserve">improving </w:t>
      </w:r>
      <w:r w:rsidR="00A64DF5">
        <w:t xml:space="preserve">students’ reading/literacy and maths expectations. </w:t>
      </w:r>
    </w:p>
    <w:p w:rsidR="00A64DF5" w:rsidRPr="00A64DF5" w:rsidRDefault="00A64DF5" w:rsidP="00FF7F06">
      <w:pPr>
        <w:jc w:val="both"/>
        <w:rPr>
          <w:rFonts w:eastAsia="SimSun"/>
          <w:bCs w:val="0"/>
          <w:szCs w:val="19"/>
        </w:rPr>
      </w:pPr>
      <w:r w:rsidRPr="00A64DF5">
        <w:rPr>
          <w:rFonts w:eastAsia="SimSun"/>
          <w:bCs w:val="0"/>
          <w:szCs w:val="19"/>
        </w:rPr>
        <w:t>The major professional development initiatives are as follows:</w:t>
      </w:r>
    </w:p>
    <w:p w:rsidR="00A64DF5" w:rsidRDefault="00A64DF5" w:rsidP="00FF7F06">
      <w:pPr>
        <w:numPr>
          <w:ilvl w:val="0"/>
          <w:numId w:val="26"/>
        </w:numPr>
        <w:spacing w:after="200" w:line="276" w:lineRule="auto"/>
        <w:contextualSpacing/>
        <w:jc w:val="both"/>
        <w:rPr>
          <w:rFonts w:eastAsia="SimSun"/>
          <w:bCs w:val="0"/>
          <w:szCs w:val="19"/>
        </w:rPr>
      </w:pPr>
      <w:r w:rsidRPr="00A64DF5">
        <w:rPr>
          <w:rFonts w:eastAsia="SimSun"/>
          <w:bCs w:val="0"/>
          <w:szCs w:val="19"/>
        </w:rPr>
        <w:t>Simon Breakspear Learning Sprints</w:t>
      </w:r>
      <w:r w:rsidR="004648F9">
        <w:rPr>
          <w:rFonts w:eastAsia="SimSun"/>
          <w:bCs w:val="0"/>
          <w:szCs w:val="19"/>
        </w:rPr>
        <w:t>;</w:t>
      </w:r>
    </w:p>
    <w:p w:rsidR="00A64DF5" w:rsidRPr="00A64DF5" w:rsidRDefault="00A64DF5" w:rsidP="00FF7F06">
      <w:pPr>
        <w:numPr>
          <w:ilvl w:val="0"/>
          <w:numId w:val="26"/>
        </w:numPr>
        <w:spacing w:after="200" w:line="276" w:lineRule="auto"/>
        <w:contextualSpacing/>
        <w:jc w:val="both"/>
        <w:rPr>
          <w:rFonts w:eastAsia="SimSun"/>
          <w:bCs w:val="0"/>
          <w:szCs w:val="19"/>
        </w:rPr>
      </w:pPr>
      <w:r>
        <w:rPr>
          <w:rFonts w:eastAsia="SimSun"/>
          <w:bCs w:val="0"/>
          <w:szCs w:val="19"/>
        </w:rPr>
        <w:t>Phonemic Awareness training</w:t>
      </w:r>
      <w:r w:rsidR="000F3EFD">
        <w:rPr>
          <w:rFonts w:eastAsia="SimSun"/>
          <w:bCs w:val="0"/>
          <w:szCs w:val="19"/>
        </w:rPr>
        <w:t>;</w:t>
      </w:r>
    </w:p>
    <w:p w:rsidR="00A64DF5" w:rsidRPr="00A64DF5" w:rsidRDefault="00A64DF5" w:rsidP="00FF7F06">
      <w:pPr>
        <w:numPr>
          <w:ilvl w:val="0"/>
          <w:numId w:val="26"/>
        </w:numPr>
        <w:spacing w:after="200" w:line="276" w:lineRule="auto"/>
        <w:contextualSpacing/>
        <w:jc w:val="both"/>
        <w:rPr>
          <w:rFonts w:eastAsia="SimSun"/>
          <w:bCs w:val="0"/>
          <w:szCs w:val="19"/>
        </w:rPr>
      </w:pPr>
      <w:r w:rsidRPr="00A64DF5">
        <w:rPr>
          <w:rFonts w:eastAsia="SimSun"/>
          <w:bCs w:val="0"/>
          <w:szCs w:val="19"/>
        </w:rPr>
        <w:t xml:space="preserve">Special Education Curriculum Cluster (SECC) professional learning activities for Mathematics; </w:t>
      </w:r>
    </w:p>
    <w:p w:rsidR="00A64DF5" w:rsidRPr="00A64DF5" w:rsidRDefault="00A64DF5" w:rsidP="00FF7F06">
      <w:pPr>
        <w:numPr>
          <w:ilvl w:val="0"/>
          <w:numId w:val="26"/>
        </w:numPr>
        <w:spacing w:after="200" w:line="276" w:lineRule="auto"/>
        <w:contextualSpacing/>
        <w:jc w:val="both"/>
        <w:rPr>
          <w:rFonts w:eastAsia="SimSun"/>
          <w:bCs w:val="0"/>
          <w:szCs w:val="19"/>
        </w:rPr>
      </w:pPr>
      <w:r>
        <w:rPr>
          <w:rFonts w:eastAsia="SimSun"/>
          <w:bCs w:val="0"/>
          <w:szCs w:val="19"/>
        </w:rPr>
        <w:t>Professional Learning Communities</w:t>
      </w:r>
      <w:r w:rsidRPr="00A64DF5">
        <w:rPr>
          <w:rFonts w:eastAsia="SimSun"/>
          <w:bCs w:val="0"/>
          <w:szCs w:val="19"/>
        </w:rPr>
        <w:t xml:space="preserve"> (PLC</w:t>
      </w:r>
      <w:r>
        <w:rPr>
          <w:rFonts w:eastAsia="SimSun"/>
          <w:bCs w:val="0"/>
          <w:szCs w:val="19"/>
        </w:rPr>
        <w:t>s</w:t>
      </w:r>
      <w:r w:rsidRPr="00A64DF5">
        <w:rPr>
          <w:rFonts w:eastAsia="SimSun"/>
          <w:bCs w:val="0"/>
          <w:szCs w:val="19"/>
        </w:rPr>
        <w:t>);</w:t>
      </w:r>
    </w:p>
    <w:p w:rsidR="00112C49" w:rsidRDefault="00112C49" w:rsidP="00FF7F06">
      <w:pPr>
        <w:numPr>
          <w:ilvl w:val="0"/>
          <w:numId w:val="26"/>
        </w:numPr>
        <w:spacing w:after="200" w:line="276" w:lineRule="auto"/>
        <w:contextualSpacing/>
        <w:jc w:val="both"/>
        <w:rPr>
          <w:rFonts w:eastAsia="SimSun"/>
          <w:bCs w:val="0"/>
          <w:szCs w:val="19"/>
        </w:rPr>
      </w:pPr>
      <w:r>
        <w:rPr>
          <w:rFonts w:eastAsia="SimSun"/>
          <w:bCs w:val="0"/>
          <w:szCs w:val="19"/>
        </w:rPr>
        <w:t>QCAA Maths activities;</w:t>
      </w:r>
    </w:p>
    <w:p w:rsidR="00A64DF5" w:rsidRPr="00A64DF5" w:rsidRDefault="00A64DF5" w:rsidP="00FF7F06">
      <w:pPr>
        <w:numPr>
          <w:ilvl w:val="0"/>
          <w:numId w:val="26"/>
        </w:numPr>
        <w:spacing w:after="200" w:line="276" w:lineRule="auto"/>
        <w:contextualSpacing/>
        <w:jc w:val="both"/>
        <w:rPr>
          <w:rFonts w:eastAsia="SimSun"/>
          <w:bCs w:val="0"/>
          <w:szCs w:val="19"/>
        </w:rPr>
      </w:pPr>
      <w:r w:rsidRPr="00A64DF5">
        <w:rPr>
          <w:rFonts w:eastAsia="SimSun"/>
          <w:bCs w:val="0"/>
          <w:szCs w:val="19"/>
        </w:rPr>
        <w:t xml:space="preserve">Update CPR, First Aide and Teaching of Swimming qualifications; </w:t>
      </w:r>
    </w:p>
    <w:p w:rsidR="00A64DF5" w:rsidRDefault="00A64DF5" w:rsidP="00FF7F06">
      <w:pPr>
        <w:numPr>
          <w:ilvl w:val="0"/>
          <w:numId w:val="26"/>
        </w:numPr>
        <w:spacing w:after="200" w:line="276" w:lineRule="auto"/>
        <w:contextualSpacing/>
        <w:jc w:val="both"/>
        <w:rPr>
          <w:rFonts w:eastAsia="SimSun"/>
          <w:bCs w:val="0"/>
          <w:szCs w:val="19"/>
        </w:rPr>
      </w:pPr>
      <w:r w:rsidRPr="00A64DF5">
        <w:rPr>
          <w:rFonts w:eastAsia="SimSun"/>
          <w:bCs w:val="0"/>
          <w:szCs w:val="19"/>
        </w:rPr>
        <w:t xml:space="preserve">Positive Behaviour for </w:t>
      </w:r>
      <w:r>
        <w:rPr>
          <w:rFonts w:eastAsia="SimSun"/>
          <w:bCs w:val="0"/>
          <w:szCs w:val="19"/>
        </w:rPr>
        <w:t>L</w:t>
      </w:r>
      <w:r w:rsidRPr="00A64DF5">
        <w:rPr>
          <w:rFonts w:eastAsia="SimSun"/>
          <w:bCs w:val="0"/>
          <w:szCs w:val="19"/>
        </w:rPr>
        <w:t>earning</w:t>
      </w:r>
      <w:r>
        <w:rPr>
          <w:rFonts w:eastAsia="SimSun"/>
          <w:bCs w:val="0"/>
          <w:szCs w:val="19"/>
        </w:rPr>
        <w:t xml:space="preserve"> training</w:t>
      </w:r>
      <w:r w:rsidR="004648F9">
        <w:rPr>
          <w:rFonts w:eastAsia="SimSun"/>
          <w:bCs w:val="0"/>
          <w:szCs w:val="19"/>
        </w:rPr>
        <w:t>; and</w:t>
      </w:r>
    </w:p>
    <w:p w:rsidR="00A64DF5" w:rsidRPr="00A64DF5" w:rsidRDefault="004648F9" w:rsidP="00FF7F06">
      <w:pPr>
        <w:numPr>
          <w:ilvl w:val="0"/>
          <w:numId w:val="26"/>
        </w:numPr>
        <w:spacing w:after="200" w:line="276" w:lineRule="auto"/>
        <w:contextualSpacing/>
        <w:jc w:val="both"/>
        <w:rPr>
          <w:rFonts w:eastAsia="SimSun"/>
          <w:bCs w:val="0"/>
          <w:szCs w:val="19"/>
        </w:rPr>
      </w:pPr>
      <w:r>
        <w:rPr>
          <w:rFonts w:eastAsia="SimSun"/>
          <w:bCs w:val="0"/>
          <w:szCs w:val="19"/>
        </w:rPr>
        <w:t>Trauma</w:t>
      </w:r>
      <w:r w:rsidR="00A64DF5">
        <w:rPr>
          <w:rFonts w:eastAsia="SimSun"/>
          <w:bCs w:val="0"/>
          <w:szCs w:val="19"/>
        </w:rPr>
        <w:t xml:space="preserve"> and well-being </w:t>
      </w:r>
      <w:r>
        <w:rPr>
          <w:rFonts w:eastAsia="SimSun"/>
          <w:bCs w:val="0"/>
          <w:szCs w:val="19"/>
        </w:rPr>
        <w:t>training.</w:t>
      </w:r>
    </w:p>
    <w:p w:rsidR="000126B0" w:rsidRPr="00C36678" w:rsidRDefault="000126B0" w:rsidP="00FF7F06">
      <w:pPr>
        <w:pStyle w:val="Body-Text-List-Bullet"/>
        <w:numPr>
          <w:ilvl w:val="0"/>
          <w:numId w:val="0"/>
        </w:numPr>
        <w:jc w:val="both"/>
      </w:pPr>
      <w:r w:rsidRPr="00C36678">
        <w:t>The proportion of the teaching staff involved in professional develop</w:t>
      </w:r>
      <w:r w:rsidR="00A64DF5">
        <w:t>ment activities during 2018 was 100%.</w:t>
      </w:r>
    </w:p>
    <w:p w:rsidR="000126B0" w:rsidRPr="00C36678" w:rsidRDefault="000126B0" w:rsidP="00A954D3">
      <w:pPr>
        <w:pStyle w:val="Body-Text-Smallspace"/>
      </w:pPr>
    </w:p>
    <w:p w:rsidR="000126B0" w:rsidRPr="00C36678" w:rsidRDefault="000126B0" w:rsidP="001F0A6C">
      <w:pPr>
        <w:pStyle w:val="Heading2-AR"/>
      </w:pPr>
      <w:r w:rsidRPr="00C36678">
        <w:t>Staff attendance and retention</w:t>
      </w:r>
    </w:p>
    <w:p w:rsidR="000126B0" w:rsidRPr="00C36678" w:rsidRDefault="000126B0" w:rsidP="00A954D3">
      <w:pPr>
        <w:pStyle w:val="Body-Text-Smallspace"/>
      </w:pPr>
    </w:p>
    <w:p w:rsidR="000126B0" w:rsidRPr="00C36678" w:rsidRDefault="000126B0" w:rsidP="001F0A6C">
      <w:pPr>
        <w:pStyle w:val="Heading3-AR"/>
      </w:pPr>
      <w:r w:rsidRPr="00C36678">
        <w:t>Staff attendance</w:t>
      </w:r>
    </w:p>
    <w:p w:rsidR="000126B0" w:rsidRPr="00C36678" w:rsidRDefault="000126B0" w:rsidP="00086DE0">
      <w:pPr>
        <w:pStyle w:val="Body-Text-Smallspace"/>
      </w:pPr>
    </w:p>
    <w:p w:rsidR="000126B0" w:rsidRPr="00C36678" w:rsidRDefault="000126B0" w:rsidP="00EE2F4E">
      <w:pPr>
        <w:pStyle w:val="TableCaption-AR"/>
      </w:pPr>
      <w:r w:rsidRPr="00C36678">
        <w:t>Table 10: Average staff attendance for this school as percentages</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40"/>
        <w:gridCol w:w="1041"/>
        <w:gridCol w:w="1041"/>
      </w:tblGrid>
      <w:tr w:rsidR="000126B0" w:rsidRPr="00C36678" w:rsidTr="00AD614C">
        <w:trPr>
          <w:trHeight w:val="340"/>
          <w:tblHeader/>
        </w:trPr>
        <w:tc>
          <w:tcPr>
            <w:tcW w:w="6523" w:type="dxa"/>
            <w:shd w:val="clear" w:color="auto" w:fill="C1ECFF"/>
            <w:vAlign w:val="center"/>
          </w:tcPr>
          <w:p w:rsidR="000126B0" w:rsidRPr="00C36678" w:rsidRDefault="000126B0" w:rsidP="00162A9B">
            <w:pPr>
              <w:pStyle w:val="Body-Table-Heading"/>
              <w:keepNext/>
              <w:rPr>
                <w:u w:color="FF0000"/>
                <w:lang w:eastAsia="en-US"/>
              </w:rPr>
            </w:pPr>
            <w:r w:rsidRPr="00C36678">
              <w:rPr>
                <w:u w:color="FF0000"/>
                <w:lang w:eastAsia="en-US"/>
              </w:rPr>
              <w:t>Description</w:t>
            </w:r>
          </w:p>
        </w:tc>
        <w:tc>
          <w:tcPr>
            <w:tcW w:w="1040" w:type="dxa"/>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2016</w:t>
            </w:r>
          </w:p>
        </w:tc>
        <w:tc>
          <w:tcPr>
            <w:tcW w:w="1041" w:type="dxa"/>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2017</w:t>
            </w:r>
          </w:p>
        </w:tc>
        <w:tc>
          <w:tcPr>
            <w:tcW w:w="1041" w:type="dxa"/>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2018</w:t>
            </w:r>
          </w:p>
        </w:tc>
      </w:tr>
      <w:tr w:rsidR="000126B0" w:rsidRPr="00C36678" w:rsidTr="00AD614C">
        <w:trPr>
          <w:trHeight w:val="340"/>
        </w:trPr>
        <w:tc>
          <w:tcPr>
            <w:tcW w:w="6523" w:type="dxa"/>
            <w:shd w:val="clear" w:color="auto" w:fill="auto"/>
            <w:vAlign w:val="center"/>
          </w:tcPr>
          <w:p w:rsidR="000126B0" w:rsidRPr="00C36678" w:rsidRDefault="000126B0" w:rsidP="00162A9B">
            <w:pPr>
              <w:pStyle w:val="Body-Table-Text"/>
              <w:keepNext/>
              <w:rPr>
                <w:rFonts w:eastAsia="Meiryo"/>
              </w:rPr>
            </w:pPr>
            <w:r w:rsidRPr="00C36678">
              <w:rPr>
                <w:rFonts w:eastAsia="Meiryo"/>
              </w:rPr>
              <w:t>Staff attendance for permanent and temporary staff and school leaders.</w:t>
            </w:r>
          </w:p>
        </w:tc>
        <w:tc>
          <w:tcPr>
            <w:tcW w:w="1040" w:type="dxa"/>
            <w:shd w:val="clear" w:color="auto" w:fill="auto"/>
            <w:vAlign w:val="center"/>
          </w:tcPr>
          <w:p w:rsidR="000126B0" w:rsidRPr="00C36678" w:rsidRDefault="000126B0" w:rsidP="00162A9B">
            <w:pPr>
              <w:pStyle w:val="Body-Table-TextCentred"/>
              <w:keepNext/>
            </w:pPr>
            <w:r w:rsidRPr="00211E08">
              <w:rPr>
                <w:noProof/>
              </w:rPr>
              <w:t>95%</w:t>
            </w:r>
          </w:p>
        </w:tc>
        <w:tc>
          <w:tcPr>
            <w:tcW w:w="1041" w:type="dxa"/>
            <w:shd w:val="clear" w:color="auto" w:fill="auto"/>
            <w:vAlign w:val="center"/>
          </w:tcPr>
          <w:p w:rsidR="000126B0" w:rsidRPr="00C36678" w:rsidRDefault="000126B0" w:rsidP="00162A9B">
            <w:pPr>
              <w:pStyle w:val="Body-Table-TextCentred"/>
              <w:keepNext/>
            </w:pPr>
            <w:r w:rsidRPr="00211E08">
              <w:rPr>
                <w:noProof/>
              </w:rPr>
              <w:t>94%</w:t>
            </w:r>
          </w:p>
        </w:tc>
        <w:tc>
          <w:tcPr>
            <w:tcW w:w="1041" w:type="dxa"/>
            <w:shd w:val="clear" w:color="auto" w:fill="auto"/>
            <w:vAlign w:val="center"/>
          </w:tcPr>
          <w:p w:rsidR="000126B0" w:rsidRPr="00C36678" w:rsidRDefault="000126B0" w:rsidP="00214F8D">
            <w:pPr>
              <w:pStyle w:val="Body-Table-TextCentred"/>
              <w:keepNext/>
            </w:pPr>
            <w:r w:rsidRPr="00211E08">
              <w:rPr>
                <w:noProof/>
              </w:rPr>
              <w:t>95%</w:t>
            </w:r>
          </w:p>
        </w:tc>
      </w:tr>
    </w:tbl>
    <w:p w:rsidR="000126B0" w:rsidRPr="00C36678" w:rsidRDefault="000126B0" w:rsidP="00CA4127">
      <w:pPr>
        <w:pStyle w:val="Body-Text"/>
      </w:pPr>
    </w:p>
    <w:p w:rsidR="000126B0" w:rsidRPr="00C36678" w:rsidRDefault="000126B0" w:rsidP="00A954D3">
      <w:pPr>
        <w:pStyle w:val="Body-Text-Smallspace"/>
      </w:pPr>
    </w:p>
    <w:p w:rsidR="000126B0" w:rsidRPr="00C36678" w:rsidRDefault="000126B0" w:rsidP="001F0A6C">
      <w:pPr>
        <w:pStyle w:val="Heading3-AR"/>
      </w:pPr>
      <w:r w:rsidRPr="00C36678">
        <w:t>Proportion of staff retained from the previous school year</w:t>
      </w:r>
    </w:p>
    <w:p w:rsidR="000126B0" w:rsidRPr="00C36678" w:rsidRDefault="000126B0" w:rsidP="00CA4127">
      <w:pPr>
        <w:pStyle w:val="Body-Text"/>
        <w:rPr>
          <w:shd w:val="clear" w:color="auto" w:fill="D9D9D9"/>
        </w:rPr>
      </w:pPr>
      <w:r w:rsidRPr="00C36678">
        <w:t xml:space="preserve">From the end of the previous school year, </w:t>
      </w:r>
      <w:r>
        <w:rPr>
          <w:noProof/>
        </w:rPr>
        <w:t>97%</w:t>
      </w:r>
      <w:r w:rsidRPr="00C36678">
        <w:t xml:space="preserve"> of staff were retained by</w:t>
      </w:r>
      <w:r w:rsidR="000F3EFD">
        <w:t xml:space="preserve"> the school for the entire 2018 period.</w:t>
      </w:r>
    </w:p>
    <w:p w:rsidR="000126B0" w:rsidRPr="00C36678" w:rsidRDefault="000126B0" w:rsidP="00CA4127">
      <w:pPr>
        <w:pStyle w:val="Body-Text"/>
        <w:rPr>
          <w:shd w:val="clear" w:color="auto" w:fill="D9D9D9"/>
        </w:rPr>
      </w:pPr>
    </w:p>
    <w:tbl>
      <w:tblPr>
        <w:tblW w:w="4897" w:type="pct"/>
        <w:tblInd w:w="108" w:type="dxa"/>
        <w:shd w:val="clear" w:color="auto" w:fill="2B5CAA"/>
        <w:tblLayout w:type="fixed"/>
        <w:tblLook w:val="0000" w:firstRow="0" w:lastRow="0" w:firstColumn="0" w:lastColumn="0" w:noHBand="0" w:noVBand="0"/>
      </w:tblPr>
      <w:tblGrid>
        <w:gridCol w:w="9439"/>
      </w:tblGrid>
      <w:tr w:rsidR="000126B0" w:rsidRPr="00C36678" w:rsidTr="00AD614C">
        <w:tc>
          <w:tcPr>
            <w:tcW w:w="5000" w:type="pct"/>
            <w:shd w:val="clear" w:color="auto" w:fill="003D69"/>
          </w:tcPr>
          <w:p w:rsidR="000126B0" w:rsidRPr="00C36678" w:rsidRDefault="000126B0" w:rsidP="00907B51">
            <w:pPr>
              <w:pStyle w:val="Heading1-AR"/>
            </w:pPr>
            <w:r w:rsidRPr="00C36678">
              <w:t>Performance of our students</w:t>
            </w:r>
          </w:p>
        </w:tc>
      </w:tr>
      <w:tr w:rsidR="000126B0" w:rsidRPr="00C36678" w:rsidTr="00AD614C">
        <w:trPr>
          <w:trHeight w:val="371"/>
        </w:trPr>
        <w:tc>
          <w:tcPr>
            <w:tcW w:w="5000" w:type="pct"/>
            <w:shd w:val="clear" w:color="auto" w:fill="DDDDDD"/>
          </w:tcPr>
          <w:p w:rsidR="000126B0" w:rsidRPr="00C36678" w:rsidRDefault="000126B0" w:rsidP="0063618A">
            <w:pPr>
              <w:pStyle w:val="Heading12-AR"/>
            </w:pPr>
          </w:p>
        </w:tc>
      </w:tr>
    </w:tbl>
    <w:p w:rsidR="000126B0" w:rsidRPr="00C36678" w:rsidRDefault="000126B0" w:rsidP="008551AF">
      <w:pPr>
        <w:pStyle w:val="Body-Text"/>
        <w:rPr>
          <w:lang w:eastAsia="en-US"/>
        </w:rPr>
      </w:pPr>
    </w:p>
    <w:p w:rsidR="000126B0" w:rsidRPr="00C36678" w:rsidRDefault="000126B0" w:rsidP="00A954D3">
      <w:pPr>
        <w:pStyle w:val="Body-Text-Smallspace"/>
      </w:pPr>
    </w:p>
    <w:p w:rsidR="000126B0" w:rsidRPr="00C36678" w:rsidRDefault="000126B0" w:rsidP="0087196C">
      <w:pPr>
        <w:pStyle w:val="Heading2-AR"/>
      </w:pPr>
      <w:r w:rsidRPr="00C36678">
        <w:t>Key student outcomes</w:t>
      </w:r>
    </w:p>
    <w:p w:rsidR="000126B0" w:rsidRPr="00C36678" w:rsidRDefault="000126B0" w:rsidP="00A954D3">
      <w:pPr>
        <w:pStyle w:val="Body-Text-Smallspace"/>
      </w:pPr>
    </w:p>
    <w:p w:rsidR="000126B0" w:rsidRPr="00C36678" w:rsidRDefault="000126B0" w:rsidP="0087196C">
      <w:pPr>
        <w:pStyle w:val="Heading3-AR"/>
      </w:pPr>
      <w:r w:rsidRPr="00C36678">
        <w:t>Student attendance</w:t>
      </w:r>
    </w:p>
    <w:p w:rsidR="000126B0" w:rsidRPr="00C36678" w:rsidRDefault="000126B0" w:rsidP="00B545B7">
      <w:pPr>
        <w:pStyle w:val="Body-Text"/>
      </w:pPr>
      <w:r w:rsidRPr="00C36678">
        <w:t>The overall student attendance rate in 2018 for all Queensland state</w:t>
      </w:r>
      <w:r>
        <w:t xml:space="preserve"> </w:t>
      </w:r>
      <w:r>
        <w:rPr>
          <w:noProof/>
        </w:rPr>
        <w:t>Special</w:t>
      </w:r>
      <w:r w:rsidRPr="00C36678">
        <w:t xml:space="preserve"> schools was </w:t>
      </w:r>
      <w:r>
        <w:rPr>
          <w:noProof/>
        </w:rPr>
        <w:t>87%</w:t>
      </w:r>
      <w:r w:rsidRPr="00C36678">
        <w:t>.</w:t>
      </w:r>
    </w:p>
    <w:p w:rsidR="000126B0" w:rsidRPr="00C36678" w:rsidRDefault="000126B0" w:rsidP="00B545B7">
      <w:pPr>
        <w:pStyle w:val="Body-Text"/>
      </w:pPr>
      <w:r w:rsidRPr="00C36678">
        <w:t>Tables 11–12 show attendance rates at this school as percentages.</w:t>
      </w:r>
    </w:p>
    <w:p w:rsidR="000126B0" w:rsidRPr="00C36678" w:rsidRDefault="000126B0" w:rsidP="00EE2F4E">
      <w:pPr>
        <w:pStyle w:val="TableCaption-AR"/>
      </w:pPr>
      <w:r w:rsidRPr="00C36678">
        <w:t>Table 11: Overall student attendance at this school</w:t>
      </w:r>
    </w:p>
    <w:tbl>
      <w:tblPr>
        <w:tblW w:w="4901"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tblCellMar>
        <w:tblLook w:val="01E0" w:firstRow="1" w:lastRow="1" w:firstColumn="1" w:lastColumn="1" w:noHBand="0" w:noVBand="0"/>
      </w:tblPr>
      <w:tblGrid>
        <w:gridCol w:w="6374"/>
        <w:gridCol w:w="1021"/>
        <w:gridCol w:w="1021"/>
        <w:gridCol w:w="1021"/>
      </w:tblGrid>
      <w:tr w:rsidR="000126B0" w:rsidRPr="00C36678" w:rsidTr="00AD614C">
        <w:trPr>
          <w:trHeight w:val="340"/>
        </w:trPr>
        <w:tc>
          <w:tcPr>
            <w:tcW w:w="3377" w:type="pct"/>
            <w:shd w:val="clear" w:color="auto" w:fill="C1ECFF"/>
            <w:vAlign w:val="center"/>
          </w:tcPr>
          <w:p w:rsidR="000126B0" w:rsidRPr="00C36678" w:rsidRDefault="000126B0" w:rsidP="00162A9B">
            <w:pPr>
              <w:pStyle w:val="Body-Table-Heading"/>
              <w:keepNext/>
              <w:rPr>
                <w:u w:color="FF0000"/>
                <w:lang w:eastAsia="en-US"/>
              </w:rPr>
            </w:pPr>
            <w:r w:rsidRPr="00C36678">
              <w:rPr>
                <w:u w:color="FF0000"/>
                <w:lang w:eastAsia="en-US"/>
              </w:rPr>
              <w:t>Description</w:t>
            </w:r>
          </w:p>
        </w:tc>
        <w:tc>
          <w:tcPr>
            <w:tcW w:w="541" w:type="pct"/>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2016</w:t>
            </w:r>
          </w:p>
        </w:tc>
        <w:tc>
          <w:tcPr>
            <w:tcW w:w="541" w:type="pct"/>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2017</w:t>
            </w:r>
          </w:p>
        </w:tc>
        <w:tc>
          <w:tcPr>
            <w:tcW w:w="541" w:type="pct"/>
            <w:shd w:val="clear" w:color="auto" w:fill="C1ECFF"/>
            <w:vAlign w:val="center"/>
          </w:tcPr>
          <w:p w:rsidR="000126B0" w:rsidRPr="00C36678" w:rsidRDefault="000126B0" w:rsidP="00162A9B">
            <w:pPr>
              <w:pStyle w:val="Body-Table-HeadingCentred"/>
              <w:keepNext/>
              <w:rPr>
                <w:u w:color="FF0000"/>
                <w:lang w:eastAsia="en-US"/>
              </w:rPr>
            </w:pPr>
            <w:r w:rsidRPr="00C36678">
              <w:rPr>
                <w:u w:color="FF0000"/>
                <w:lang w:eastAsia="en-US"/>
              </w:rPr>
              <w:t>2018</w:t>
            </w:r>
          </w:p>
        </w:tc>
      </w:tr>
      <w:tr w:rsidR="000126B0" w:rsidRPr="00C36678" w:rsidTr="00AD614C">
        <w:trPr>
          <w:trHeight w:val="340"/>
        </w:trPr>
        <w:tc>
          <w:tcPr>
            <w:tcW w:w="3377" w:type="pct"/>
            <w:shd w:val="clear" w:color="auto" w:fill="auto"/>
            <w:vAlign w:val="center"/>
          </w:tcPr>
          <w:p w:rsidR="000126B0" w:rsidRPr="00C36678" w:rsidRDefault="000126B0" w:rsidP="00162A9B">
            <w:pPr>
              <w:pStyle w:val="Body-Table-Text"/>
              <w:keepNext/>
              <w:rPr>
                <w:rFonts w:eastAsia="Meiryo"/>
              </w:rPr>
            </w:pPr>
            <w:r w:rsidRPr="00C36678">
              <w:t>O</w:t>
            </w:r>
            <w:r w:rsidRPr="00C36678">
              <w:rPr>
                <w:rFonts w:eastAsia="Meiryo"/>
              </w:rPr>
              <w:t>verall</w:t>
            </w:r>
            <w:r w:rsidRPr="00C36678">
              <w:t xml:space="preserve"> attendance rate* for students at this school</w:t>
            </w:r>
          </w:p>
        </w:tc>
        <w:tc>
          <w:tcPr>
            <w:tcW w:w="541" w:type="pct"/>
            <w:shd w:val="clear" w:color="auto" w:fill="auto"/>
            <w:vAlign w:val="center"/>
          </w:tcPr>
          <w:p w:rsidR="000126B0" w:rsidRPr="00C36678" w:rsidRDefault="000126B0" w:rsidP="00162A9B">
            <w:pPr>
              <w:pStyle w:val="Body-Table-TextCentred"/>
              <w:keepNext/>
              <w:rPr>
                <w:u w:color="FF0000"/>
              </w:rPr>
            </w:pPr>
            <w:r w:rsidRPr="00211E08">
              <w:rPr>
                <w:noProof/>
              </w:rPr>
              <w:t>91%</w:t>
            </w:r>
          </w:p>
        </w:tc>
        <w:tc>
          <w:tcPr>
            <w:tcW w:w="541" w:type="pct"/>
            <w:shd w:val="clear" w:color="auto" w:fill="auto"/>
            <w:vAlign w:val="center"/>
          </w:tcPr>
          <w:p w:rsidR="000126B0" w:rsidRPr="00C36678" w:rsidRDefault="000126B0" w:rsidP="00162A9B">
            <w:pPr>
              <w:pStyle w:val="Body-Table-TextCentred"/>
              <w:keepNext/>
              <w:rPr>
                <w:u w:color="FF0000"/>
              </w:rPr>
            </w:pPr>
            <w:r w:rsidRPr="00211E08">
              <w:rPr>
                <w:noProof/>
                <w:u w:color="FF0000"/>
              </w:rPr>
              <w:t>89%</w:t>
            </w:r>
          </w:p>
        </w:tc>
        <w:tc>
          <w:tcPr>
            <w:tcW w:w="541" w:type="pct"/>
            <w:shd w:val="clear" w:color="auto" w:fill="auto"/>
            <w:vAlign w:val="center"/>
          </w:tcPr>
          <w:p w:rsidR="000126B0" w:rsidRPr="00C36678" w:rsidRDefault="000126B0" w:rsidP="00214F8D">
            <w:pPr>
              <w:pStyle w:val="Body-Table-TextCentred"/>
              <w:keepNext/>
              <w:rPr>
                <w:u w:color="FF0000"/>
              </w:rPr>
            </w:pPr>
            <w:r w:rsidRPr="00211E08">
              <w:rPr>
                <w:noProof/>
                <w:u w:color="FF0000"/>
              </w:rPr>
              <w:t>90%</w:t>
            </w:r>
          </w:p>
        </w:tc>
      </w:tr>
      <w:tr w:rsidR="000126B0" w:rsidRPr="00C36678" w:rsidTr="00AD614C">
        <w:trPr>
          <w:trHeight w:val="340"/>
        </w:trPr>
        <w:tc>
          <w:tcPr>
            <w:tcW w:w="3377" w:type="pct"/>
            <w:tcBorders>
              <w:bottom w:val="single" w:sz="4" w:space="0" w:color="808080"/>
            </w:tcBorders>
            <w:shd w:val="clear" w:color="auto" w:fill="auto"/>
            <w:vAlign w:val="center"/>
          </w:tcPr>
          <w:p w:rsidR="000126B0" w:rsidRPr="00C36678" w:rsidRDefault="000126B0" w:rsidP="00162A9B">
            <w:pPr>
              <w:pStyle w:val="Body-Table-Text"/>
              <w:keepNext/>
              <w:rPr>
                <w:rFonts w:eastAsia="Meiryo"/>
              </w:rPr>
            </w:pPr>
            <w:r w:rsidRPr="00C36678">
              <w:t>A</w:t>
            </w:r>
            <w:r w:rsidRPr="00C36678">
              <w:rPr>
                <w:rFonts w:eastAsia="Meiryo"/>
              </w:rPr>
              <w:t>ttendance</w:t>
            </w:r>
            <w:r w:rsidRPr="00C36678">
              <w:t xml:space="preserve"> rate for Indigenous** students at this school</w:t>
            </w:r>
          </w:p>
        </w:tc>
        <w:tc>
          <w:tcPr>
            <w:tcW w:w="541" w:type="pct"/>
            <w:tcBorders>
              <w:bottom w:val="single" w:sz="4" w:space="0" w:color="808080"/>
            </w:tcBorders>
            <w:shd w:val="clear" w:color="auto" w:fill="auto"/>
            <w:vAlign w:val="center"/>
          </w:tcPr>
          <w:p w:rsidR="000126B0" w:rsidRPr="00C36678" w:rsidRDefault="000126B0" w:rsidP="00214F8D">
            <w:pPr>
              <w:pStyle w:val="Body-Table-TextCentred"/>
              <w:keepNext/>
              <w:rPr>
                <w:u w:color="FF0000"/>
              </w:rPr>
            </w:pPr>
            <w:r w:rsidRPr="00211E08">
              <w:rPr>
                <w:noProof/>
                <w:u w:color="FF0000"/>
              </w:rPr>
              <w:t>88%</w:t>
            </w:r>
          </w:p>
        </w:tc>
        <w:tc>
          <w:tcPr>
            <w:tcW w:w="541" w:type="pct"/>
            <w:tcBorders>
              <w:bottom w:val="single" w:sz="4" w:space="0" w:color="808080"/>
            </w:tcBorders>
            <w:shd w:val="clear" w:color="auto" w:fill="auto"/>
            <w:vAlign w:val="center"/>
          </w:tcPr>
          <w:p w:rsidR="000126B0" w:rsidRPr="00C36678" w:rsidRDefault="000126B0" w:rsidP="00162A9B">
            <w:pPr>
              <w:pStyle w:val="Body-Table-TextCentred"/>
              <w:keepNext/>
              <w:rPr>
                <w:u w:color="FF0000"/>
              </w:rPr>
            </w:pPr>
            <w:r w:rsidRPr="00211E08">
              <w:rPr>
                <w:noProof/>
                <w:u w:color="FF0000"/>
              </w:rPr>
              <w:t>87%</w:t>
            </w:r>
          </w:p>
        </w:tc>
        <w:tc>
          <w:tcPr>
            <w:tcW w:w="541" w:type="pct"/>
            <w:tcBorders>
              <w:bottom w:val="single" w:sz="4" w:space="0" w:color="808080"/>
            </w:tcBorders>
            <w:shd w:val="clear" w:color="auto" w:fill="auto"/>
            <w:vAlign w:val="center"/>
          </w:tcPr>
          <w:p w:rsidR="000126B0" w:rsidRPr="00C36678" w:rsidRDefault="000126B0" w:rsidP="00214F8D">
            <w:pPr>
              <w:pStyle w:val="Body-Table-TextCentred"/>
              <w:keepNext/>
              <w:rPr>
                <w:u w:color="FF0000"/>
              </w:rPr>
            </w:pPr>
            <w:r w:rsidRPr="00211E08">
              <w:rPr>
                <w:noProof/>
                <w:u w:color="FF0000"/>
              </w:rPr>
              <w:t>88%</w:t>
            </w:r>
          </w:p>
        </w:tc>
      </w:tr>
      <w:tr w:rsidR="000126B0" w:rsidRPr="00C36678" w:rsidTr="00AD614C">
        <w:trPr>
          <w:trHeight w:val="340"/>
        </w:trPr>
        <w:tc>
          <w:tcPr>
            <w:tcW w:w="5000" w:type="pct"/>
            <w:gridSpan w:val="4"/>
            <w:tcBorders>
              <w:left w:val="nil"/>
              <w:bottom w:val="nil"/>
              <w:right w:val="nil"/>
            </w:tcBorders>
            <w:shd w:val="clear" w:color="auto" w:fill="auto"/>
            <w:vAlign w:val="center"/>
          </w:tcPr>
          <w:p w:rsidR="000126B0" w:rsidRPr="00C36678" w:rsidRDefault="000126B0" w:rsidP="00162A9B">
            <w:pPr>
              <w:pStyle w:val="Body-Text-Smallspace"/>
              <w:rPr>
                <w:rFonts w:eastAsia="Meiryo"/>
              </w:rPr>
            </w:pPr>
          </w:p>
          <w:p w:rsidR="000126B0" w:rsidRPr="00C36678" w:rsidRDefault="000126B0" w:rsidP="00162A9B">
            <w:pPr>
              <w:pStyle w:val="Body-Table-Note"/>
              <w:keepNext/>
              <w:rPr>
                <w:rFonts w:eastAsia="Meiryo"/>
                <w:u w:color="FF0000"/>
              </w:rPr>
            </w:pPr>
            <w:r w:rsidRPr="00C36678">
              <w:rPr>
                <w:rFonts w:eastAsia="Meiryo"/>
                <w:u w:color="FF0000"/>
              </w:rPr>
              <w:t>*</w:t>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rPr>
                <w:rFonts w:eastAsia="Meiryo"/>
                <w:u w:color="FF0000"/>
              </w:rPr>
              <w:t>.</w:t>
            </w:r>
          </w:p>
          <w:p w:rsidR="000126B0" w:rsidRPr="00C36678" w:rsidRDefault="000126B0" w:rsidP="00162A9B">
            <w:pPr>
              <w:pStyle w:val="Body-Table-Note"/>
              <w:keepNext/>
              <w:rPr>
                <w:rFonts w:eastAsia="Meiryo"/>
                <w:u w:color="FF0000"/>
              </w:rPr>
            </w:pPr>
            <w:r w:rsidRPr="00C36678">
              <w:rPr>
                <w:rFonts w:eastAsia="Meiryo"/>
                <w:u w:color="FF0000"/>
              </w:rPr>
              <w:t xml:space="preserve">** </w:t>
            </w:r>
            <w:r w:rsidRPr="00C36678">
              <w:rPr>
                <w:i/>
                <w:u w:color="FF0000"/>
              </w:rPr>
              <w:t>Indigenous</w:t>
            </w:r>
            <w:r w:rsidRPr="00C36678">
              <w:rPr>
                <w:u w:color="FF0000"/>
              </w:rPr>
              <w:t xml:space="preserve"> refers to Aboriginal and Torres Strait Islander people of Australia.</w:t>
            </w:r>
          </w:p>
        </w:tc>
      </w:tr>
    </w:tbl>
    <w:p w:rsidR="000126B0" w:rsidRPr="00C36678" w:rsidRDefault="000126B0" w:rsidP="00086DE0">
      <w:pPr>
        <w:pStyle w:val="Body-Text-Smallspace"/>
        <w:keepNext w:val="0"/>
      </w:pPr>
    </w:p>
    <w:p w:rsidR="000126B0" w:rsidRPr="00C36678" w:rsidRDefault="000126B0" w:rsidP="00086DE0">
      <w:pPr>
        <w:pStyle w:val="Body-Text-Smallspace"/>
      </w:pPr>
    </w:p>
    <w:p w:rsidR="000126B0" w:rsidRPr="00C36678" w:rsidRDefault="000126B0" w:rsidP="00EE2F4E">
      <w:pPr>
        <w:pStyle w:val="TableCaption-AR"/>
      </w:pPr>
      <w:r w:rsidRPr="00C36678">
        <w:t>Table 12: Average student attendance rates for each year level at this school</w:t>
      </w:r>
    </w:p>
    <w:tbl>
      <w:tblPr>
        <w:tblW w:w="641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2"/>
        <w:gridCol w:w="1097"/>
        <w:gridCol w:w="716"/>
        <w:gridCol w:w="716"/>
        <w:gridCol w:w="716"/>
        <w:gridCol w:w="2884"/>
      </w:tblGrid>
      <w:tr w:rsidR="00A321AE" w:rsidRPr="00C36678" w:rsidTr="00A321AE">
        <w:trPr>
          <w:trHeight w:val="340"/>
          <w:tblHeader/>
        </w:trPr>
        <w:tc>
          <w:tcPr>
            <w:tcW w:w="282" w:type="dxa"/>
            <w:tcBorders>
              <w:top w:val="nil"/>
              <w:bottom w:val="nil"/>
            </w:tcBorders>
            <w:shd w:val="clear" w:color="auto" w:fill="auto"/>
          </w:tcPr>
          <w:p w:rsidR="00A321AE" w:rsidRPr="00C36678" w:rsidRDefault="00A321AE" w:rsidP="00162A9B">
            <w:pPr>
              <w:pStyle w:val="Body-Table-Heading"/>
              <w:keepNext/>
              <w:rPr>
                <w:u w:color="FF0000"/>
                <w:lang w:eastAsia="en-US"/>
              </w:rPr>
            </w:pPr>
          </w:p>
        </w:tc>
        <w:tc>
          <w:tcPr>
            <w:tcW w:w="1097" w:type="dxa"/>
            <w:shd w:val="clear" w:color="auto" w:fill="C1ECFF"/>
          </w:tcPr>
          <w:p w:rsidR="00A321AE" w:rsidRPr="00C36678" w:rsidRDefault="00A321AE" w:rsidP="00162A9B">
            <w:pPr>
              <w:pStyle w:val="Body-Table-Heading"/>
              <w:keepNext/>
              <w:rPr>
                <w:u w:color="FF0000"/>
                <w:lang w:eastAsia="en-US"/>
              </w:rPr>
            </w:pPr>
            <w:r w:rsidRPr="00C36678">
              <w:rPr>
                <w:u w:color="FF0000"/>
                <w:lang w:eastAsia="en-US"/>
              </w:rPr>
              <w:t>Year level</w:t>
            </w:r>
          </w:p>
        </w:tc>
        <w:tc>
          <w:tcPr>
            <w:tcW w:w="716" w:type="dxa"/>
            <w:shd w:val="clear" w:color="auto" w:fill="C1ECFF"/>
          </w:tcPr>
          <w:p w:rsidR="00A321AE" w:rsidRPr="00C36678" w:rsidRDefault="00A321AE" w:rsidP="00162A9B">
            <w:pPr>
              <w:pStyle w:val="Body-Table-HeadingCentred"/>
              <w:keepNext/>
              <w:rPr>
                <w:u w:color="FF0000"/>
                <w:lang w:eastAsia="en-US"/>
              </w:rPr>
            </w:pPr>
            <w:r w:rsidRPr="00C36678">
              <w:rPr>
                <w:u w:color="FF0000"/>
                <w:lang w:eastAsia="en-US"/>
              </w:rPr>
              <w:t>2016</w:t>
            </w:r>
          </w:p>
        </w:tc>
        <w:tc>
          <w:tcPr>
            <w:tcW w:w="716" w:type="dxa"/>
            <w:shd w:val="clear" w:color="auto" w:fill="C1ECFF"/>
          </w:tcPr>
          <w:p w:rsidR="00A321AE" w:rsidRPr="00C36678" w:rsidRDefault="00A321AE" w:rsidP="00162A9B">
            <w:pPr>
              <w:pStyle w:val="Body-Table-HeadingCentred"/>
              <w:keepNext/>
              <w:rPr>
                <w:u w:color="FF0000"/>
                <w:lang w:eastAsia="en-US"/>
              </w:rPr>
            </w:pPr>
            <w:r w:rsidRPr="00C36678">
              <w:rPr>
                <w:u w:color="FF0000"/>
                <w:lang w:eastAsia="en-US"/>
              </w:rPr>
              <w:t>2017</w:t>
            </w:r>
          </w:p>
        </w:tc>
        <w:tc>
          <w:tcPr>
            <w:tcW w:w="716" w:type="dxa"/>
            <w:shd w:val="clear" w:color="auto" w:fill="C1ECFF"/>
          </w:tcPr>
          <w:p w:rsidR="00A321AE" w:rsidRPr="00C36678" w:rsidRDefault="00A321AE" w:rsidP="00162A9B">
            <w:pPr>
              <w:pStyle w:val="Body-Table-HeadingCentred"/>
              <w:keepNext/>
              <w:rPr>
                <w:u w:color="FF0000"/>
                <w:lang w:eastAsia="en-US"/>
              </w:rPr>
            </w:pPr>
            <w:r w:rsidRPr="00C36678">
              <w:rPr>
                <w:u w:color="FF0000"/>
                <w:lang w:eastAsia="en-US"/>
              </w:rPr>
              <w:t>2018</w:t>
            </w:r>
          </w:p>
        </w:tc>
        <w:tc>
          <w:tcPr>
            <w:tcW w:w="2884" w:type="dxa"/>
            <w:vMerge w:val="restart"/>
            <w:tcBorders>
              <w:top w:val="nil"/>
              <w:bottom w:val="nil"/>
              <w:right w:val="nil"/>
            </w:tcBorders>
            <w:shd w:val="clear" w:color="auto" w:fill="auto"/>
          </w:tcPr>
          <w:p w:rsidR="00A321AE" w:rsidRPr="00C36678" w:rsidRDefault="00A321AE" w:rsidP="00162A9B">
            <w:pPr>
              <w:pStyle w:val="Body-Text-Smallspace"/>
            </w:pPr>
          </w:p>
          <w:p w:rsidR="00A321AE" w:rsidRPr="00C36678" w:rsidRDefault="00A321AE" w:rsidP="00162A9B">
            <w:pPr>
              <w:pStyle w:val="Body-Table-Note"/>
              <w:keepNext/>
              <w:spacing w:after="60"/>
            </w:pPr>
            <w:r w:rsidRPr="00C36678">
              <w:t>Notes:</w:t>
            </w:r>
          </w:p>
          <w:p w:rsidR="00A321AE" w:rsidRPr="00C36678" w:rsidRDefault="00A321AE" w:rsidP="00162A9B">
            <w:pPr>
              <w:pStyle w:val="Body-Table-Note"/>
              <w:keepNext/>
              <w:tabs>
                <w:tab w:val="left" w:pos="242"/>
              </w:tabs>
              <w:spacing w:after="60"/>
              <w:ind w:left="255" w:hanging="255"/>
            </w:pPr>
            <w:r w:rsidRPr="00C36678">
              <w:t>1.</w:t>
            </w:r>
            <w:r w:rsidRPr="00C36678">
              <w:tab/>
              <w:t>Attendance rates effectively count attendance for every student for every day of attendance in Semester 1.</w:t>
            </w:r>
          </w:p>
          <w:p w:rsidR="00A321AE" w:rsidRPr="00C36678" w:rsidRDefault="00A321AE" w:rsidP="00162A9B">
            <w:pPr>
              <w:pStyle w:val="Body-Table-Note"/>
              <w:keepNext/>
              <w:tabs>
                <w:tab w:val="left" w:pos="228"/>
              </w:tabs>
              <w:spacing w:after="60"/>
              <w:ind w:left="255" w:hanging="255"/>
            </w:pPr>
            <w:r w:rsidRPr="00C36678">
              <w:t>2.</w:t>
            </w:r>
            <w:r w:rsidRPr="00C36678">
              <w:tab/>
            </w:r>
            <w:r w:rsidRPr="00C36678">
              <w:rPr>
                <w:rFonts w:eastAsia="Meiryo"/>
                <w:szCs w:val="17"/>
                <w:u w:color="FF0000"/>
              </w:rPr>
              <w:t xml:space="preserve"> Student attendance rate = the total of full-days and part-days that students attended divided by the total of all possible days for students to attend (expressed as a percentage)</w:t>
            </w:r>
            <w:r w:rsidRPr="00C36678">
              <w:t>.</w:t>
            </w:r>
          </w:p>
          <w:p w:rsidR="00A321AE" w:rsidRPr="00C36678" w:rsidRDefault="00A321AE" w:rsidP="00162A9B">
            <w:pPr>
              <w:pStyle w:val="Body-Table-Note"/>
              <w:keepNext/>
              <w:tabs>
                <w:tab w:val="left" w:pos="228"/>
              </w:tabs>
              <w:ind w:left="256" w:hanging="256"/>
            </w:pPr>
            <w:r w:rsidRPr="00C36678">
              <w:t>3.</w:t>
            </w:r>
            <w:r w:rsidRPr="00C36678">
              <w:tab/>
              <w:t>DW = Data withheld to ensure confidentiality.</w:t>
            </w:r>
          </w:p>
        </w:tc>
      </w:tr>
      <w:tr w:rsidR="00A321AE" w:rsidRPr="00C36678" w:rsidTr="00A321AE">
        <w:trPr>
          <w:trHeight w:val="340"/>
        </w:trPr>
        <w:tc>
          <w:tcPr>
            <w:tcW w:w="282" w:type="dxa"/>
            <w:tcBorders>
              <w:top w:val="nil"/>
              <w:bottom w:val="nil"/>
            </w:tcBorders>
            <w:shd w:val="clear" w:color="auto" w:fill="auto"/>
            <w:vAlign w:val="center"/>
          </w:tcPr>
          <w:p w:rsidR="00A321AE" w:rsidRPr="00C36678" w:rsidRDefault="00A321AE" w:rsidP="00162A9B">
            <w:pPr>
              <w:pStyle w:val="Body-Table-Text"/>
              <w:keepNext/>
              <w:rPr>
                <w:rFonts w:eastAsia="Meiryo"/>
                <w:u w:color="FF0000"/>
              </w:rPr>
            </w:pPr>
          </w:p>
        </w:tc>
        <w:tc>
          <w:tcPr>
            <w:tcW w:w="1097" w:type="dxa"/>
            <w:shd w:val="clear" w:color="auto" w:fill="auto"/>
            <w:vAlign w:val="center"/>
          </w:tcPr>
          <w:p w:rsidR="00A321AE" w:rsidRPr="00C36678" w:rsidRDefault="00A321AE" w:rsidP="00214F8D">
            <w:pPr>
              <w:pStyle w:val="Body-Table-Text"/>
              <w:keepNext/>
              <w:rPr>
                <w:rFonts w:eastAsia="Meiryo"/>
                <w:u w:color="FF0000"/>
              </w:rPr>
            </w:pPr>
            <w:r w:rsidRPr="00C36678">
              <w:t>Year 7</w:t>
            </w:r>
          </w:p>
        </w:tc>
        <w:tc>
          <w:tcPr>
            <w:tcW w:w="716" w:type="dxa"/>
            <w:shd w:val="clear" w:color="auto" w:fill="auto"/>
            <w:vAlign w:val="center"/>
          </w:tcPr>
          <w:p w:rsidR="00A321AE" w:rsidRPr="00C36678" w:rsidRDefault="00A321AE" w:rsidP="00214F8D">
            <w:pPr>
              <w:pStyle w:val="Body-Table-TextCentred"/>
              <w:keepNext/>
              <w:rPr>
                <w:u w:color="FF0000"/>
              </w:rPr>
            </w:pPr>
            <w:r w:rsidRPr="00211E08">
              <w:rPr>
                <w:noProof/>
              </w:rPr>
              <w:t>93%</w:t>
            </w:r>
          </w:p>
        </w:tc>
        <w:tc>
          <w:tcPr>
            <w:tcW w:w="716" w:type="dxa"/>
            <w:shd w:val="clear" w:color="auto" w:fill="auto"/>
            <w:vAlign w:val="center"/>
          </w:tcPr>
          <w:p w:rsidR="00A321AE" w:rsidRPr="00C36678" w:rsidRDefault="00A321AE" w:rsidP="00214F8D">
            <w:pPr>
              <w:pStyle w:val="Body-Table-TextCentred"/>
              <w:keepNext/>
              <w:rPr>
                <w:u w:color="FF0000"/>
              </w:rPr>
            </w:pPr>
            <w:r w:rsidRPr="00211E08">
              <w:rPr>
                <w:noProof/>
              </w:rPr>
              <w:t>92%</w:t>
            </w:r>
          </w:p>
        </w:tc>
        <w:tc>
          <w:tcPr>
            <w:tcW w:w="716" w:type="dxa"/>
            <w:shd w:val="clear" w:color="auto" w:fill="auto"/>
            <w:vAlign w:val="center"/>
          </w:tcPr>
          <w:p w:rsidR="00A321AE" w:rsidRPr="00C36678" w:rsidRDefault="00A321AE" w:rsidP="00214F8D">
            <w:pPr>
              <w:pStyle w:val="Body-Table-TextCentred"/>
              <w:keepNext/>
              <w:rPr>
                <w:u w:color="FF0000"/>
              </w:rPr>
            </w:pPr>
            <w:r w:rsidRPr="00211E08">
              <w:rPr>
                <w:noProof/>
              </w:rPr>
              <w:t>93%</w:t>
            </w:r>
          </w:p>
        </w:tc>
        <w:tc>
          <w:tcPr>
            <w:tcW w:w="2884" w:type="dxa"/>
            <w:vMerge/>
            <w:tcBorders>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r>
      <w:tr w:rsidR="00A321AE" w:rsidRPr="00C36678" w:rsidTr="00A321AE">
        <w:trPr>
          <w:trHeight w:val="340"/>
        </w:trPr>
        <w:tc>
          <w:tcPr>
            <w:tcW w:w="282" w:type="dxa"/>
            <w:tcBorders>
              <w:top w:val="nil"/>
              <w:bottom w:val="nil"/>
            </w:tcBorders>
            <w:shd w:val="clear" w:color="auto" w:fill="auto"/>
            <w:vAlign w:val="center"/>
          </w:tcPr>
          <w:p w:rsidR="00A321AE" w:rsidRPr="00C36678" w:rsidRDefault="00A321AE" w:rsidP="00162A9B">
            <w:pPr>
              <w:pStyle w:val="Body-Table-Text"/>
              <w:keepNext/>
              <w:rPr>
                <w:rFonts w:eastAsia="Meiryo"/>
                <w:u w:color="FF0000"/>
              </w:rPr>
            </w:pPr>
          </w:p>
        </w:tc>
        <w:tc>
          <w:tcPr>
            <w:tcW w:w="1097" w:type="dxa"/>
            <w:shd w:val="clear" w:color="auto" w:fill="auto"/>
            <w:vAlign w:val="center"/>
          </w:tcPr>
          <w:p w:rsidR="00A321AE" w:rsidRPr="00C36678" w:rsidRDefault="00A321AE" w:rsidP="00214F8D">
            <w:pPr>
              <w:pStyle w:val="Body-Table-Text"/>
              <w:keepNext/>
              <w:rPr>
                <w:rFonts w:eastAsia="Meiryo"/>
                <w:u w:color="FF0000"/>
              </w:rPr>
            </w:pPr>
            <w:r w:rsidRPr="00C36678">
              <w:rPr>
                <w:rFonts w:eastAsia="Meiryo"/>
                <w:u w:color="FF0000"/>
              </w:rPr>
              <w:t>Year 8</w:t>
            </w:r>
          </w:p>
        </w:tc>
        <w:tc>
          <w:tcPr>
            <w:tcW w:w="716" w:type="dxa"/>
            <w:shd w:val="clear" w:color="auto" w:fill="auto"/>
            <w:vAlign w:val="center"/>
          </w:tcPr>
          <w:p w:rsidR="00A321AE" w:rsidRPr="00C36678" w:rsidRDefault="00A321AE" w:rsidP="00214F8D">
            <w:pPr>
              <w:pStyle w:val="Body-Table-TextCentred"/>
              <w:keepNext/>
              <w:rPr>
                <w:u w:color="FF0000"/>
              </w:rPr>
            </w:pPr>
            <w:r w:rsidRPr="00211E08">
              <w:rPr>
                <w:noProof/>
              </w:rPr>
              <w:t>87%</w:t>
            </w:r>
          </w:p>
        </w:tc>
        <w:tc>
          <w:tcPr>
            <w:tcW w:w="716" w:type="dxa"/>
            <w:shd w:val="clear" w:color="auto" w:fill="auto"/>
            <w:vAlign w:val="center"/>
          </w:tcPr>
          <w:p w:rsidR="00A321AE" w:rsidRPr="00C36678" w:rsidRDefault="00A321AE" w:rsidP="00214F8D">
            <w:pPr>
              <w:pStyle w:val="Body-Table-TextCentred"/>
              <w:keepNext/>
              <w:rPr>
                <w:u w:color="FF0000"/>
              </w:rPr>
            </w:pPr>
            <w:r w:rsidRPr="00211E08">
              <w:rPr>
                <w:noProof/>
              </w:rPr>
              <w:t>91%</w:t>
            </w:r>
          </w:p>
        </w:tc>
        <w:tc>
          <w:tcPr>
            <w:tcW w:w="716" w:type="dxa"/>
            <w:shd w:val="clear" w:color="auto" w:fill="auto"/>
            <w:vAlign w:val="center"/>
          </w:tcPr>
          <w:p w:rsidR="00A321AE" w:rsidRPr="00C36678" w:rsidRDefault="00A321AE" w:rsidP="00214F8D">
            <w:pPr>
              <w:pStyle w:val="Body-Table-TextCentred"/>
              <w:keepNext/>
              <w:rPr>
                <w:u w:color="FF0000"/>
              </w:rPr>
            </w:pPr>
            <w:r w:rsidRPr="00211E08">
              <w:rPr>
                <w:noProof/>
              </w:rPr>
              <w:t>89%</w:t>
            </w:r>
          </w:p>
        </w:tc>
        <w:tc>
          <w:tcPr>
            <w:tcW w:w="2884" w:type="dxa"/>
            <w:vMerge/>
            <w:tcBorders>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r>
      <w:tr w:rsidR="00A321AE" w:rsidRPr="00C36678" w:rsidTr="00A321AE">
        <w:trPr>
          <w:trHeight w:val="340"/>
        </w:trPr>
        <w:tc>
          <w:tcPr>
            <w:tcW w:w="282" w:type="dxa"/>
            <w:tcBorders>
              <w:top w:val="nil"/>
              <w:bottom w:val="nil"/>
            </w:tcBorders>
            <w:shd w:val="clear" w:color="auto" w:fill="auto"/>
            <w:vAlign w:val="center"/>
          </w:tcPr>
          <w:p w:rsidR="00A321AE" w:rsidRPr="00C36678" w:rsidRDefault="00A321A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A321AE" w:rsidRPr="00C36678" w:rsidRDefault="00A321AE" w:rsidP="00214F8D">
            <w:pPr>
              <w:pStyle w:val="Body-Table-Text"/>
              <w:keepNext/>
              <w:rPr>
                <w:rFonts w:eastAsia="Meiryo"/>
                <w:u w:color="FF0000"/>
              </w:rPr>
            </w:pPr>
            <w:r w:rsidRPr="00C36678">
              <w:rPr>
                <w:rFonts w:eastAsia="Meiryo"/>
                <w:u w:color="FF0000"/>
              </w:rPr>
              <w:t>Year 9</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96%</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86%</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92%</w:t>
            </w:r>
          </w:p>
        </w:tc>
        <w:tc>
          <w:tcPr>
            <w:tcW w:w="2884" w:type="dxa"/>
            <w:vMerge/>
            <w:tcBorders>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r>
      <w:tr w:rsidR="00A321AE" w:rsidRPr="00C36678" w:rsidTr="00A321AE">
        <w:trPr>
          <w:trHeight w:val="340"/>
        </w:trPr>
        <w:tc>
          <w:tcPr>
            <w:tcW w:w="282" w:type="dxa"/>
            <w:tcBorders>
              <w:top w:val="nil"/>
              <w:bottom w:val="nil"/>
            </w:tcBorders>
            <w:shd w:val="clear" w:color="auto" w:fill="auto"/>
            <w:vAlign w:val="center"/>
          </w:tcPr>
          <w:p w:rsidR="00A321AE" w:rsidRPr="00C36678" w:rsidRDefault="00A321A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A321AE" w:rsidRPr="00C36678" w:rsidRDefault="00A321AE" w:rsidP="00162A9B">
            <w:pPr>
              <w:pStyle w:val="Body-Table-Text"/>
              <w:keepNext/>
              <w:rPr>
                <w:rFonts w:eastAsia="Meiryo"/>
                <w:u w:color="FF0000"/>
              </w:rPr>
            </w:pPr>
            <w:r w:rsidRPr="00C36678">
              <w:rPr>
                <w:rFonts w:eastAsia="Meiryo"/>
                <w:u w:color="FF0000"/>
              </w:rPr>
              <w:t>Year 10</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92%</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91%</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88%</w:t>
            </w:r>
          </w:p>
        </w:tc>
        <w:tc>
          <w:tcPr>
            <w:tcW w:w="2884" w:type="dxa"/>
            <w:vMerge/>
            <w:tcBorders>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r>
      <w:tr w:rsidR="00A321AE" w:rsidRPr="00C36678" w:rsidTr="00A321AE">
        <w:trPr>
          <w:trHeight w:val="340"/>
        </w:trPr>
        <w:tc>
          <w:tcPr>
            <w:tcW w:w="282" w:type="dxa"/>
            <w:tcBorders>
              <w:top w:val="nil"/>
              <w:bottom w:val="nil"/>
            </w:tcBorders>
            <w:shd w:val="clear" w:color="auto" w:fill="auto"/>
            <w:vAlign w:val="center"/>
          </w:tcPr>
          <w:p w:rsidR="00A321AE" w:rsidRPr="00C36678" w:rsidRDefault="00A321A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A321AE" w:rsidRPr="00C36678" w:rsidRDefault="00A321AE" w:rsidP="00162A9B">
            <w:pPr>
              <w:pStyle w:val="Body-Table-Text"/>
              <w:keepNext/>
              <w:rPr>
                <w:rFonts w:eastAsia="Meiryo"/>
                <w:u w:color="FF0000"/>
              </w:rPr>
            </w:pPr>
            <w:r w:rsidRPr="00C36678">
              <w:rPr>
                <w:rFonts w:eastAsia="Meiryo"/>
                <w:u w:color="FF0000"/>
              </w:rPr>
              <w:t>Year 11</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88%</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88%</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91%</w:t>
            </w:r>
          </w:p>
        </w:tc>
        <w:tc>
          <w:tcPr>
            <w:tcW w:w="2884" w:type="dxa"/>
            <w:vMerge/>
            <w:tcBorders>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r>
      <w:tr w:rsidR="00A321AE" w:rsidRPr="00C36678" w:rsidTr="00A321AE">
        <w:trPr>
          <w:trHeight w:val="340"/>
        </w:trPr>
        <w:tc>
          <w:tcPr>
            <w:tcW w:w="282" w:type="dxa"/>
            <w:tcBorders>
              <w:top w:val="nil"/>
              <w:bottom w:val="nil"/>
            </w:tcBorders>
            <w:shd w:val="clear" w:color="auto" w:fill="auto"/>
            <w:vAlign w:val="center"/>
          </w:tcPr>
          <w:p w:rsidR="00A321AE" w:rsidRPr="00C36678" w:rsidRDefault="00A321AE" w:rsidP="00162A9B">
            <w:pPr>
              <w:pStyle w:val="Body-Table-Text"/>
              <w:keepNext/>
              <w:rPr>
                <w:rFonts w:eastAsia="Meiryo"/>
                <w:u w:color="FF0000"/>
              </w:rPr>
            </w:pPr>
          </w:p>
        </w:tc>
        <w:tc>
          <w:tcPr>
            <w:tcW w:w="1097" w:type="dxa"/>
            <w:tcBorders>
              <w:bottom w:val="single" w:sz="4" w:space="0" w:color="808080"/>
            </w:tcBorders>
            <w:shd w:val="clear" w:color="auto" w:fill="auto"/>
            <w:vAlign w:val="center"/>
          </w:tcPr>
          <w:p w:rsidR="00A321AE" w:rsidRPr="00C36678" w:rsidRDefault="00A321AE" w:rsidP="00162A9B">
            <w:pPr>
              <w:pStyle w:val="Body-Table-Text"/>
              <w:keepNext/>
              <w:rPr>
                <w:rFonts w:eastAsia="Meiryo"/>
                <w:u w:color="FF0000"/>
              </w:rPr>
            </w:pPr>
            <w:r w:rsidRPr="00C36678">
              <w:rPr>
                <w:rFonts w:eastAsia="Meiryo"/>
                <w:u w:color="FF0000"/>
              </w:rPr>
              <w:t>Year 12</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91%</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87%</w:t>
            </w:r>
          </w:p>
        </w:tc>
        <w:tc>
          <w:tcPr>
            <w:tcW w:w="716" w:type="dxa"/>
            <w:tcBorders>
              <w:bottom w:val="single" w:sz="4" w:space="0" w:color="808080"/>
            </w:tcBorders>
            <w:shd w:val="clear" w:color="auto" w:fill="auto"/>
            <w:vAlign w:val="center"/>
          </w:tcPr>
          <w:p w:rsidR="00A321AE" w:rsidRPr="00C36678" w:rsidRDefault="00A321AE" w:rsidP="00214F8D">
            <w:pPr>
              <w:pStyle w:val="Body-Table-TextCentred"/>
              <w:keepNext/>
              <w:rPr>
                <w:u w:color="FF0000"/>
              </w:rPr>
            </w:pPr>
            <w:r w:rsidRPr="00211E08">
              <w:rPr>
                <w:noProof/>
              </w:rPr>
              <w:t>90%</w:t>
            </w:r>
          </w:p>
        </w:tc>
        <w:tc>
          <w:tcPr>
            <w:tcW w:w="2884" w:type="dxa"/>
            <w:vMerge/>
            <w:tcBorders>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r>
      <w:tr w:rsidR="00A321AE" w:rsidRPr="00C36678" w:rsidTr="00A321AE">
        <w:trPr>
          <w:trHeight w:val="340"/>
        </w:trPr>
        <w:tc>
          <w:tcPr>
            <w:tcW w:w="282" w:type="dxa"/>
            <w:tcBorders>
              <w:top w:val="nil"/>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c>
          <w:tcPr>
            <w:tcW w:w="1097" w:type="dxa"/>
            <w:tcBorders>
              <w:left w:val="nil"/>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c>
          <w:tcPr>
            <w:tcW w:w="716" w:type="dxa"/>
            <w:tcBorders>
              <w:left w:val="nil"/>
              <w:bottom w:val="nil"/>
              <w:right w:val="nil"/>
            </w:tcBorders>
            <w:shd w:val="clear" w:color="auto" w:fill="auto"/>
            <w:vAlign w:val="center"/>
          </w:tcPr>
          <w:p w:rsidR="00A321AE" w:rsidRPr="00C36678" w:rsidRDefault="00A321AE" w:rsidP="00162A9B">
            <w:pPr>
              <w:pStyle w:val="Body-Table-TextCentred"/>
              <w:keepNext/>
              <w:rPr>
                <w:u w:color="FF0000"/>
              </w:rPr>
            </w:pPr>
          </w:p>
        </w:tc>
        <w:tc>
          <w:tcPr>
            <w:tcW w:w="716" w:type="dxa"/>
            <w:tcBorders>
              <w:left w:val="nil"/>
              <w:bottom w:val="nil"/>
              <w:right w:val="nil"/>
            </w:tcBorders>
            <w:shd w:val="clear" w:color="auto" w:fill="auto"/>
            <w:vAlign w:val="center"/>
          </w:tcPr>
          <w:p w:rsidR="00A321AE" w:rsidRPr="00C36678" w:rsidRDefault="00A321AE" w:rsidP="00162A9B">
            <w:pPr>
              <w:pStyle w:val="Body-Table-TextCentred"/>
              <w:keepNext/>
              <w:rPr>
                <w:u w:color="FF0000"/>
              </w:rPr>
            </w:pPr>
          </w:p>
        </w:tc>
        <w:tc>
          <w:tcPr>
            <w:tcW w:w="716" w:type="dxa"/>
            <w:tcBorders>
              <w:left w:val="nil"/>
              <w:bottom w:val="nil"/>
              <w:right w:val="nil"/>
            </w:tcBorders>
            <w:shd w:val="clear" w:color="auto" w:fill="auto"/>
            <w:vAlign w:val="center"/>
          </w:tcPr>
          <w:p w:rsidR="00A321AE" w:rsidRPr="00C36678" w:rsidRDefault="00A321AE" w:rsidP="00162A9B">
            <w:pPr>
              <w:pStyle w:val="Body-Table-TextCentred"/>
              <w:keepNext/>
              <w:rPr>
                <w:u w:color="FF0000"/>
              </w:rPr>
            </w:pPr>
          </w:p>
        </w:tc>
        <w:tc>
          <w:tcPr>
            <w:tcW w:w="2884" w:type="dxa"/>
            <w:vMerge/>
            <w:tcBorders>
              <w:left w:val="nil"/>
              <w:bottom w:val="nil"/>
              <w:right w:val="nil"/>
            </w:tcBorders>
            <w:shd w:val="clear" w:color="auto" w:fill="auto"/>
            <w:vAlign w:val="center"/>
          </w:tcPr>
          <w:p w:rsidR="00A321AE" w:rsidRPr="00C36678" w:rsidRDefault="00A321AE" w:rsidP="00162A9B">
            <w:pPr>
              <w:pStyle w:val="Body-Table-Text"/>
              <w:keepNext/>
              <w:rPr>
                <w:rFonts w:eastAsia="Meiryo"/>
                <w:u w:color="FF0000"/>
              </w:rPr>
            </w:pPr>
          </w:p>
        </w:tc>
      </w:tr>
    </w:tbl>
    <w:p w:rsidR="000126B0" w:rsidRPr="00C36678" w:rsidRDefault="000126B0" w:rsidP="00A954D3">
      <w:pPr>
        <w:pStyle w:val="Body-Text"/>
      </w:pPr>
    </w:p>
    <w:p w:rsidR="000126B0" w:rsidRPr="00C36678" w:rsidRDefault="000126B0" w:rsidP="00A954D3">
      <w:pPr>
        <w:pStyle w:val="Body-Text-Smallspace"/>
      </w:pPr>
    </w:p>
    <w:p w:rsidR="000126B0" w:rsidRPr="00C36678" w:rsidRDefault="000126B0" w:rsidP="0031267B">
      <w:pPr>
        <w:pStyle w:val="Heading3-AR"/>
      </w:pPr>
      <w:r w:rsidRPr="00C36678">
        <w:t>Student attendance distribution</w:t>
      </w:r>
    </w:p>
    <w:p w:rsidR="000126B0" w:rsidRPr="00C36678" w:rsidRDefault="000126B0" w:rsidP="00086DE0">
      <w:pPr>
        <w:pStyle w:val="Body-Text-Smallspace"/>
      </w:pPr>
    </w:p>
    <w:p w:rsidR="000126B0" w:rsidRPr="00C36678" w:rsidRDefault="000126B0" w:rsidP="00F04502">
      <w:pPr>
        <w:pStyle w:val="TableCaption-AR"/>
      </w:pPr>
      <w:r w:rsidRPr="00C36678">
        <w:t>Graph 1: Proportion of students by attendance rate</w:t>
      </w:r>
    </w:p>
    <w:p w:rsidR="000126B0" w:rsidRPr="00C36678" w:rsidRDefault="003F4216" w:rsidP="008551AF">
      <w:pPr>
        <w:pStyle w:val="Body-Text"/>
      </w:pPr>
      <w:r>
        <w:rPr>
          <w:noProof/>
          <w:lang w:eastAsia="zh-TW"/>
        </w:rPr>
        <w:drawing>
          <wp:inline distT="0" distB="0" distL="0" distR="0">
            <wp:extent cx="5213350" cy="189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3350" cy="1898650"/>
                    </a:xfrm>
                    <a:prstGeom prst="rect">
                      <a:avLst/>
                    </a:prstGeom>
                    <a:noFill/>
                    <a:ln>
                      <a:noFill/>
                    </a:ln>
                  </pic:spPr>
                </pic:pic>
              </a:graphicData>
            </a:graphic>
          </wp:inline>
        </w:drawing>
      </w:r>
    </w:p>
    <w:p w:rsidR="000126B0" w:rsidRPr="00C36678" w:rsidRDefault="000126B0" w:rsidP="00FC0281">
      <w:pPr>
        <w:pStyle w:val="Body-Text-Smallspace"/>
      </w:pPr>
    </w:p>
    <w:p w:rsidR="000126B0" w:rsidRPr="00C36678" w:rsidRDefault="000126B0" w:rsidP="00AC1B1C">
      <w:pPr>
        <w:pStyle w:val="Heading3-AR"/>
      </w:pPr>
      <w:r w:rsidRPr="00C36678">
        <w:t>Description of how this school manages non-attendance</w:t>
      </w:r>
    </w:p>
    <w:p w:rsidR="000126B0" w:rsidRPr="00C36678" w:rsidRDefault="000126B0" w:rsidP="00BB159F">
      <w:pPr>
        <w:pStyle w:val="Body-Text-List-Bullet"/>
        <w:numPr>
          <w:ilvl w:val="0"/>
          <w:numId w:val="0"/>
        </w:numPr>
      </w:pPr>
      <w:r w:rsidRPr="00C36678">
        <w:t xml:space="preserve">Queensland state schools manage non-attendance in line with the Queensland Department of Education </w:t>
      </w:r>
      <w:r w:rsidRPr="004D2AE0">
        <w:rPr>
          <w:rFonts w:cs="Arial"/>
        </w:rPr>
        <w:t xml:space="preserve">procedures: </w:t>
      </w:r>
      <w:hyperlink r:id="rId22" w:history="1">
        <w:r w:rsidRPr="004D2AE0">
          <w:rPr>
            <w:rStyle w:val="Hyperlink"/>
            <w:rFonts w:cs="Arial"/>
            <w:i/>
          </w:rPr>
          <w:t>Managing Student Absences and Enforcing Enrolment and Attendance at State Schools</w:t>
        </w:r>
      </w:hyperlink>
      <w:r w:rsidRPr="004D2AE0">
        <w:rPr>
          <w:rFonts w:cs="Arial"/>
        </w:rPr>
        <w:t xml:space="preserve">; and </w:t>
      </w:r>
      <w:hyperlink r:id="rId23" w:history="1">
        <w:r w:rsidRPr="004D2AE0">
          <w:rPr>
            <w:rStyle w:val="Hyperlink"/>
            <w:rFonts w:cs="Arial"/>
            <w:i/>
          </w:rPr>
          <w:t>Roll Marking in State Schools</w:t>
        </w:r>
      </w:hyperlink>
      <w:r w:rsidRPr="004D2AE0">
        <w:rPr>
          <w:rFonts w:cs="Arial"/>
          <w:i/>
        </w:rPr>
        <w:t>,</w:t>
      </w:r>
      <w:r w:rsidRPr="004D2AE0">
        <w:rPr>
          <w:rFonts w:cs="Arial"/>
        </w:rPr>
        <w:t xml:space="preserve"> which outline processes</w:t>
      </w:r>
      <w:r w:rsidRPr="00C36678">
        <w:t xml:space="preserve"> for managing and recording student attendance and absenteeism.</w:t>
      </w:r>
    </w:p>
    <w:p w:rsidR="00C0351B" w:rsidRPr="009A1656" w:rsidRDefault="00C0351B" w:rsidP="00C0351B">
      <w:pPr>
        <w:spacing w:after="200" w:line="276" w:lineRule="auto"/>
        <w:jc w:val="both"/>
        <w:outlineLvl w:val="1"/>
        <w:rPr>
          <w:rFonts w:eastAsia="Times New Roman"/>
          <w:bCs w:val="0"/>
          <w:color w:val="000000"/>
          <w:szCs w:val="19"/>
          <w:u w:color="FF0000"/>
        </w:rPr>
      </w:pPr>
      <w:r w:rsidRPr="009A1656">
        <w:rPr>
          <w:rFonts w:eastAsia="Times New Roman"/>
          <w:bCs w:val="0"/>
          <w:color w:val="000000"/>
          <w:szCs w:val="19"/>
          <w:u w:color="FF0000"/>
        </w:rPr>
        <w:t xml:space="preserve">In 2018, Clifford Park Special School maintained student attendance using the OneSchool electronic system.   All teachers referred to the Absence Codes when marking class rolls, documenting the reason why students are absent.  Teachers entered attendance data twice daily. Manual rolls are still used when substitute teachers are employed.  The school’s administration officer attempts to contact families each day, using the SMS4Schools system, when student absences are unexplained. </w:t>
      </w:r>
    </w:p>
    <w:p w:rsidR="000126B0" w:rsidRPr="009A1656" w:rsidRDefault="00C0351B" w:rsidP="009A1656">
      <w:pPr>
        <w:spacing w:after="200" w:line="276" w:lineRule="auto"/>
        <w:jc w:val="both"/>
        <w:outlineLvl w:val="1"/>
        <w:rPr>
          <w:rFonts w:eastAsia="Times New Roman"/>
          <w:bCs w:val="0"/>
          <w:color w:val="000000"/>
          <w:sz w:val="16"/>
          <w:szCs w:val="16"/>
          <w:u w:color="FF0000"/>
        </w:rPr>
      </w:pPr>
      <w:r w:rsidRPr="009A1656">
        <w:rPr>
          <w:rFonts w:eastAsia="Times New Roman"/>
          <w:bCs w:val="0"/>
          <w:color w:val="000000"/>
          <w:szCs w:val="19"/>
          <w:u w:color="FF0000"/>
        </w:rPr>
        <w:t>At weekly administration meetings, the absentee data for the previous week is presented. Teachers are asked to follow up with parents/carers if unexplained absentees have continued for a longer period.  This is because teachers often have an excellent rapport with parents and carers.  If this is not successful, a member of the administration team, or the principal, will contact the home, and attempt to find reasons for non-attendance. Each student’s circumstances are considered individually.   If absenteeism becomes an issue, a plan regarding classroom or break time re-integration is deliberated.</w:t>
      </w:r>
      <w:r w:rsidRPr="00C0351B">
        <w:rPr>
          <w:rFonts w:eastAsia="Times New Roman"/>
          <w:bCs w:val="0"/>
          <w:color w:val="000000"/>
          <w:sz w:val="16"/>
          <w:szCs w:val="16"/>
          <w:u w:color="FF0000"/>
        </w:rPr>
        <w:t xml:space="preserve">  </w:t>
      </w:r>
    </w:p>
    <w:p w:rsidR="000126B0" w:rsidRPr="00C36678" w:rsidRDefault="000126B0" w:rsidP="00FC0281">
      <w:pPr>
        <w:pStyle w:val="Body-Text-Smallspace"/>
      </w:pPr>
    </w:p>
    <w:p w:rsidR="000126B0" w:rsidRPr="00C36678" w:rsidRDefault="000126B0" w:rsidP="00AC1B1C">
      <w:pPr>
        <w:pStyle w:val="Heading3-AR"/>
        <w:rPr>
          <w:sz w:val="30"/>
        </w:rPr>
      </w:pPr>
      <w:r w:rsidRPr="00C36678">
        <w:t>NAPLAN</w:t>
      </w:r>
    </w:p>
    <w:p w:rsidR="000126B0" w:rsidRPr="00C36678" w:rsidRDefault="000E6906" w:rsidP="00B64DF9">
      <w:pPr>
        <w:pStyle w:val="Body-Text-Note"/>
        <w:ind w:left="284" w:hanging="284"/>
      </w:pPr>
      <w:r>
        <w:t>Students who attend Clifford Park Special School are exempt from engaging in Naplan</w:t>
      </w:r>
      <w:r w:rsidR="000126B0" w:rsidRPr="00C36678">
        <w:t>.</w:t>
      </w:r>
    </w:p>
    <w:p w:rsidR="000126B0" w:rsidRPr="00C36678" w:rsidRDefault="000126B0" w:rsidP="00FC0281">
      <w:pPr>
        <w:pStyle w:val="Body-Text"/>
      </w:pPr>
    </w:p>
    <w:p w:rsidR="000126B0" w:rsidRPr="00C36678" w:rsidRDefault="000126B0" w:rsidP="00B64DF9">
      <w:pPr>
        <w:pStyle w:val="Body-Text-Smallspace"/>
      </w:pPr>
    </w:p>
    <w:p w:rsidR="000126B0" w:rsidRPr="00C36678" w:rsidRDefault="000126B0" w:rsidP="00F66436">
      <w:pPr>
        <w:pStyle w:val="Heading3-AR"/>
      </w:pPr>
      <w:r w:rsidRPr="00C36678">
        <w:t>Year 12 Outcomes</w:t>
      </w:r>
    </w:p>
    <w:p w:rsidR="000126B0" w:rsidRPr="00C36678" w:rsidRDefault="000126B0" w:rsidP="00A9163D">
      <w:pPr>
        <w:pStyle w:val="Body-Text"/>
      </w:pPr>
      <w:r w:rsidRPr="00C36678">
        <w:t>Tables 13–15 show for this school:</w:t>
      </w:r>
    </w:p>
    <w:p w:rsidR="000126B0" w:rsidRPr="00C36678" w:rsidRDefault="000126B0" w:rsidP="00907B51">
      <w:pPr>
        <w:pStyle w:val="Body-Text-List-Bullet"/>
      </w:pPr>
      <w:r w:rsidRPr="00C36678">
        <w:t>a summary of Year 12 outcomes</w:t>
      </w:r>
    </w:p>
    <w:p w:rsidR="000126B0" w:rsidRPr="00C36678" w:rsidRDefault="000126B0" w:rsidP="00907B51">
      <w:pPr>
        <w:pStyle w:val="Body-Text-List-Bullet"/>
      </w:pPr>
      <w:r w:rsidRPr="00C36678">
        <w:lastRenderedPageBreak/>
        <w:t>the number of Year 12 students in each OP band</w:t>
      </w:r>
    </w:p>
    <w:p w:rsidR="000126B0" w:rsidRPr="00C36678" w:rsidRDefault="000126B0" w:rsidP="00907B51">
      <w:pPr>
        <w:pStyle w:val="Body-Text-List-Bullet"/>
      </w:pPr>
      <w:r w:rsidRPr="00C36678">
        <w:t>the number of Year 12 students awarded a VET qualification.</w:t>
      </w:r>
    </w:p>
    <w:p w:rsidR="000126B0" w:rsidRPr="00C36678" w:rsidRDefault="000126B0" w:rsidP="00A9163D">
      <w:pPr>
        <w:pStyle w:val="Body-Text"/>
      </w:pPr>
      <w:r w:rsidRPr="00C36678">
        <w:t xml:space="preserve">Details about the types of outcomes for students who finish Year 12 </w:t>
      </w:r>
      <w:r>
        <w:t>are</w:t>
      </w:r>
      <w:r w:rsidRPr="00C36678">
        <w:t xml:space="preserve"> available in the annual </w:t>
      </w:r>
      <w:hyperlink r:id="rId24" w:history="1">
        <w:r w:rsidRPr="002A09AB">
          <w:rPr>
            <w:rStyle w:val="Hyperlink"/>
          </w:rPr>
          <w:t>Year 12 outcomes report</w:t>
        </w:r>
      </w:hyperlink>
      <w:r w:rsidRPr="00C36678">
        <w:t>.</w:t>
      </w:r>
    </w:p>
    <w:p w:rsidR="000126B0" w:rsidRPr="00C36678" w:rsidRDefault="000126B0" w:rsidP="006C159F">
      <w:pPr>
        <w:pStyle w:val="Body-Text"/>
      </w:pPr>
      <w:r w:rsidRPr="00C36678">
        <w:rPr>
          <w:lang w:eastAsia="en-US"/>
        </w:rPr>
        <w:t xml:space="preserve">Additional information about </w:t>
      </w:r>
      <w:r w:rsidRPr="00C36678">
        <w:t xml:space="preserve">the AQF and the IBD program are available at </w:t>
      </w:r>
      <w:hyperlink r:id="rId25" w:history="1">
        <w:r w:rsidRPr="00C36678">
          <w:rPr>
            <w:rStyle w:val="Hyperlink"/>
          </w:rPr>
          <w:t>www.aqf.edu.au</w:t>
        </w:r>
      </w:hyperlink>
      <w:r w:rsidRPr="00C36678">
        <w:t xml:space="preserve"> and </w:t>
      </w:r>
      <w:hyperlink r:id="rId26" w:history="1">
        <w:r w:rsidRPr="00C36678">
          <w:rPr>
            <w:rStyle w:val="Hyperlink"/>
          </w:rPr>
          <w:t>www.ibo.org</w:t>
        </w:r>
      </w:hyperlink>
      <w:r w:rsidRPr="00C36678">
        <w:t>.</w:t>
      </w:r>
    </w:p>
    <w:p w:rsidR="000126B0" w:rsidRPr="00C36678" w:rsidRDefault="000126B0" w:rsidP="00907B51">
      <w:pPr>
        <w:pStyle w:val="Body-Text"/>
      </w:pPr>
    </w:p>
    <w:p w:rsidR="000126B0" w:rsidRPr="00C36678" w:rsidRDefault="000126B0" w:rsidP="00FC0281">
      <w:pPr>
        <w:pStyle w:val="Body-Text-Smallspace"/>
      </w:pPr>
    </w:p>
    <w:p w:rsidR="000126B0" w:rsidRPr="00C36678" w:rsidRDefault="000126B0" w:rsidP="000A4E48">
      <w:pPr>
        <w:pStyle w:val="TableCaption-AR"/>
      </w:pPr>
      <w:r w:rsidRPr="00C36678">
        <w:t>Table 13: Outcomes for our Year 12 cohorts</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3"/>
        <w:gridCol w:w="1045"/>
        <w:gridCol w:w="1045"/>
        <w:gridCol w:w="1046"/>
      </w:tblGrid>
      <w:tr w:rsidR="000126B0" w:rsidRPr="00C36678" w:rsidTr="00071129">
        <w:trPr>
          <w:trHeight w:val="340"/>
          <w:tblHeader/>
        </w:trPr>
        <w:tc>
          <w:tcPr>
            <w:tcW w:w="6523"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
            </w:pPr>
            <w:r w:rsidRPr="00C36678">
              <w:t>Description</w:t>
            </w:r>
          </w:p>
        </w:tc>
        <w:tc>
          <w:tcPr>
            <w:tcW w:w="1045"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pPr>
            <w:r w:rsidRPr="00C36678">
              <w:t>2016</w:t>
            </w:r>
          </w:p>
        </w:tc>
        <w:tc>
          <w:tcPr>
            <w:tcW w:w="1045"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pPr>
            <w:r w:rsidRPr="00C36678">
              <w:t>2017</w:t>
            </w:r>
          </w:p>
        </w:tc>
        <w:tc>
          <w:tcPr>
            <w:tcW w:w="10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pPr>
            <w:r w:rsidRPr="00C36678">
              <w:t>2018</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643C4B">
            <w:pPr>
              <w:pStyle w:val="Body-Table-Text"/>
              <w:rPr>
                <w:rFonts w:eastAsia="Meiryo"/>
                <w:szCs w:val="16"/>
              </w:rPr>
            </w:pPr>
            <w:r w:rsidRPr="00C36678">
              <w:t>Number of students who received a Senior Statement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14</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18</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28</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200AD3">
            <w:pPr>
              <w:pStyle w:val="Body-Table-Text"/>
              <w:rPr>
                <w:rFonts w:eastAsia="Meiryo"/>
                <w:szCs w:val="16"/>
              </w:rPr>
            </w:pPr>
            <w:r w:rsidRPr="00C36678">
              <w:t>Number of students awarded a QCIA</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14</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18</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28</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727085">
            <w:pPr>
              <w:pStyle w:val="Body-Table-Text"/>
              <w:rPr>
                <w:rFonts w:eastAsia="Meiryo"/>
                <w:szCs w:val="16"/>
              </w:rPr>
            </w:pPr>
            <w:r w:rsidRPr="00C36678">
              <w:rPr>
                <w:szCs w:val="16"/>
                <w:u w:color="FF0000"/>
              </w:rPr>
              <w:t>Number of students awarded a Queensland Certificate of Education (QCE) at the end of Year 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727085">
            <w:pPr>
              <w:pStyle w:val="Body-Table-Text"/>
              <w:rPr>
                <w:rFonts w:eastAsia="Meiryo"/>
                <w:szCs w:val="16"/>
              </w:rPr>
            </w:pPr>
            <w:r w:rsidRPr="00C36678">
              <w:rPr>
                <w:szCs w:val="16"/>
                <w:u w:color="FF0000"/>
              </w:rPr>
              <w:t>Percentage of Indigenous students awarded a QCE at the end of Year 12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727085">
            <w:pPr>
              <w:pStyle w:val="Body-Table-Text"/>
              <w:rPr>
                <w:rFonts w:eastAsia="Meiryo"/>
                <w:szCs w:val="16"/>
              </w:rPr>
            </w:pPr>
            <w:r w:rsidRPr="00C36678">
              <w:t>Number of students who received an OP</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643C4B">
            <w:pPr>
              <w:pStyle w:val="Body-Table-Text"/>
              <w:rPr>
                <w:rFonts w:eastAsia="Meiryo"/>
                <w:szCs w:val="16"/>
              </w:rPr>
            </w:pPr>
            <w:r w:rsidRPr="00C36678">
              <w:rPr>
                <w:szCs w:val="16"/>
                <w:u w:color="FF0000"/>
              </w:rPr>
              <w:t>Percentage of Indigenous students</w:t>
            </w:r>
            <w:r w:rsidRPr="00C36678">
              <w:t xml:space="preserve"> who received an OP</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FD4A5D">
            <w:pPr>
              <w:pStyle w:val="Body-Table-Text"/>
              <w:rPr>
                <w:rFonts w:eastAsia="Meiryo"/>
                <w:szCs w:val="16"/>
              </w:rPr>
            </w:pPr>
            <w:r w:rsidRPr="00C36678">
              <w:t>Number of students awarded one or more VET qualifications (including SAT)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6</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10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14</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790FB5">
            <w:pPr>
              <w:pStyle w:val="Body-Table-Text"/>
              <w:rPr>
                <w:rFonts w:eastAsia="Meiryo"/>
                <w:szCs w:val="16"/>
              </w:rPr>
            </w:pPr>
            <w:r w:rsidRPr="00C36678">
              <w:rPr>
                <w:szCs w:val="16"/>
                <w:u w:color="FF0000"/>
              </w:rPr>
              <w:t>Number of students awarded a VET Certificate II or above</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2</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7</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3</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FD4A5D">
            <w:pPr>
              <w:pStyle w:val="Body-Table-Text"/>
              <w:rPr>
                <w:rFonts w:eastAsia="Meiryo"/>
                <w:szCs w:val="16"/>
              </w:rPr>
            </w:pPr>
            <w:r w:rsidRPr="00C36678">
              <w:t>Number of students who were completing/continuing a SAT</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3</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884856">
            <w:pPr>
              <w:pStyle w:val="Body-Table-Text"/>
              <w:rPr>
                <w:rFonts w:eastAsia="Meiryo"/>
                <w:szCs w:val="16"/>
              </w:rPr>
            </w:pPr>
            <w:r w:rsidRPr="00C36678">
              <w:rPr>
                <w:szCs w:val="16"/>
                <w:u w:color="FF0000"/>
              </w:rPr>
              <w:t>Number of students awarded an IBD</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0</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EF7DFB">
            <w:pPr>
              <w:pStyle w:val="Body-Table-Text"/>
              <w:rPr>
                <w:rFonts w:eastAsia="Meiryo"/>
                <w:szCs w:val="16"/>
              </w:rPr>
            </w:pPr>
            <w:r w:rsidRPr="00C36678">
              <w:rPr>
                <w:szCs w:val="16"/>
                <w:u w:color="FF0000"/>
              </w:rPr>
              <w:t>Percentage of OP/IBD eligible students with OP 1-15 or an IBD</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FD4A5D">
            <w:pPr>
              <w:pStyle w:val="Body-Table-Text"/>
              <w:rPr>
                <w:rFonts w:eastAsia="Meiryo"/>
                <w:szCs w:val="16"/>
              </w:rPr>
            </w:pPr>
            <w:r w:rsidRPr="00C36678">
              <w:rPr>
                <w:szCs w:val="16"/>
                <w:u w:color="FF0000"/>
              </w:rPr>
              <w:t>Percentage of Year 12 students who were completing or completed a SAT or were awarded one or more of the following: QCE, IBD, VET qualification</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43%</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56%</w:t>
            </w: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r w:rsidRPr="00211E08">
              <w:rPr>
                <w:noProof/>
              </w:rPr>
              <w:t>50%</w:t>
            </w:r>
          </w:p>
        </w:tc>
      </w:tr>
      <w:tr w:rsidR="000126B0" w:rsidRPr="00C36678" w:rsidTr="00071129">
        <w:trPr>
          <w:trHeight w:val="340"/>
        </w:trPr>
        <w:tc>
          <w:tcPr>
            <w:tcW w:w="6523"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833206">
            <w:pPr>
              <w:pStyle w:val="Body-Table-Text"/>
              <w:rPr>
                <w:rFonts w:eastAsia="Meiryo"/>
                <w:szCs w:val="16"/>
              </w:rPr>
            </w:pPr>
            <w:r w:rsidRPr="00C36678">
              <w:rPr>
                <w:szCs w:val="16"/>
                <w:u w:color="FF0000"/>
              </w:rPr>
              <w:t>Percentage of QTAC applicants who received a tertiary offer.</w:t>
            </w: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p>
        </w:tc>
        <w:tc>
          <w:tcPr>
            <w:tcW w:w="104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p>
        </w:tc>
        <w:tc>
          <w:tcPr>
            <w:tcW w:w="1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0A4E48">
            <w:pPr>
              <w:pStyle w:val="Body-Table-TextCentred"/>
            </w:pPr>
          </w:p>
        </w:tc>
      </w:tr>
      <w:tr w:rsidR="000126B0" w:rsidRPr="00C36678" w:rsidTr="00071129">
        <w:trPr>
          <w:trHeight w:val="340"/>
        </w:trPr>
        <w:tc>
          <w:tcPr>
            <w:tcW w:w="9659" w:type="dxa"/>
            <w:gridSpan w:val="4"/>
            <w:tcBorders>
              <w:top w:val="single" w:sz="4" w:space="0" w:color="808080"/>
              <w:left w:val="nil"/>
              <w:bottom w:val="nil"/>
              <w:right w:val="nil"/>
            </w:tcBorders>
            <w:shd w:val="clear" w:color="auto" w:fill="auto"/>
          </w:tcPr>
          <w:p w:rsidR="000126B0" w:rsidRPr="00C36678" w:rsidRDefault="000126B0" w:rsidP="008551AF">
            <w:pPr>
              <w:pStyle w:val="Body-Text-Smallspace"/>
            </w:pPr>
          </w:p>
          <w:p w:rsidR="000126B0" w:rsidRPr="00C36678" w:rsidRDefault="000126B0" w:rsidP="008551AF">
            <w:pPr>
              <w:pStyle w:val="Body-Table-Note"/>
              <w:rPr>
                <w:u w:color="FF0000"/>
              </w:rPr>
            </w:pPr>
            <w:r w:rsidRPr="00C36678">
              <w:rPr>
                <w:u w:color="FF0000"/>
              </w:rPr>
              <w:t xml:space="preserve">Notes: </w:t>
            </w:r>
          </w:p>
          <w:p w:rsidR="000126B0" w:rsidRPr="00C36678" w:rsidRDefault="000126B0" w:rsidP="003C7B67">
            <w:pPr>
              <w:pStyle w:val="Body-Table-Note"/>
              <w:tabs>
                <w:tab w:val="left" w:pos="242"/>
              </w:tabs>
              <w:spacing w:after="60"/>
              <w:ind w:left="255" w:hanging="255"/>
              <w:rPr>
                <w:u w:color="FF0000"/>
              </w:rPr>
            </w:pPr>
            <w:r w:rsidRPr="00C36678">
              <w:t>•</w:t>
            </w:r>
            <w:r w:rsidRPr="00C36678">
              <w:tab/>
            </w:r>
            <w:r w:rsidRPr="00C36678">
              <w:rPr>
                <w:u w:color="FF0000"/>
              </w:rPr>
              <w:t>The values above:</w:t>
            </w:r>
          </w:p>
          <w:p w:rsidR="000126B0" w:rsidRPr="00C36678" w:rsidRDefault="000126B0" w:rsidP="003C7B67">
            <w:pPr>
              <w:pStyle w:val="Body-Table-Note"/>
              <w:tabs>
                <w:tab w:val="left" w:pos="518"/>
              </w:tabs>
              <w:spacing w:after="60"/>
              <w:ind w:left="561" w:hanging="295"/>
            </w:pPr>
            <w:r w:rsidRPr="00C36678">
              <w:t>−</w:t>
            </w:r>
            <w:r w:rsidRPr="00C36678">
              <w:tab/>
              <w:t>are as at 11 February 2019</w:t>
            </w:r>
          </w:p>
          <w:p w:rsidR="000126B0" w:rsidRPr="00C36678" w:rsidRDefault="000126B0" w:rsidP="003C7B67">
            <w:pPr>
              <w:pStyle w:val="Body-Table-Note"/>
              <w:tabs>
                <w:tab w:val="left" w:pos="518"/>
              </w:tabs>
              <w:ind w:left="560" w:hanging="294"/>
            </w:pPr>
            <w:r w:rsidRPr="00C36678">
              <w:t>−</w:t>
            </w:r>
            <w:r w:rsidRPr="00C36678">
              <w:tab/>
              <w:t>exclude VISA students (students who are not Australian citizens or permanent residents of Australia).</w:t>
            </w:r>
          </w:p>
          <w:p w:rsidR="000126B0" w:rsidRPr="00C36678" w:rsidRDefault="000126B0" w:rsidP="00AE6C76">
            <w:pPr>
              <w:pStyle w:val="Body-Table-Note"/>
              <w:tabs>
                <w:tab w:val="left" w:pos="242"/>
              </w:tabs>
              <w:ind w:left="256" w:hanging="256"/>
            </w:pPr>
            <w:r w:rsidRPr="00C36678">
              <w:t>•</w:t>
            </w:r>
            <w:r w:rsidRPr="00C36678">
              <w:tab/>
            </w:r>
            <w:r w:rsidRPr="00C36678">
              <w:rPr>
                <w:i/>
                <w:u w:color="FF0000"/>
              </w:rPr>
              <w:t>Indigenous</w:t>
            </w:r>
            <w:r w:rsidRPr="00C36678">
              <w:rPr>
                <w:u w:color="FF0000"/>
              </w:rPr>
              <w:t xml:space="preserve"> refers to Aboriginal and Torres Strait Islander people of Australia.</w:t>
            </w:r>
          </w:p>
        </w:tc>
      </w:tr>
    </w:tbl>
    <w:p w:rsidR="000126B0" w:rsidRPr="00C36678" w:rsidRDefault="000126B0" w:rsidP="00FC0281">
      <w:pPr>
        <w:pStyle w:val="Body-Text-Smallspace"/>
      </w:pPr>
    </w:p>
    <w:p w:rsidR="000126B0" w:rsidRPr="00C36678" w:rsidRDefault="000126B0" w:rsidP="00907B51">
      <w:pPr>
        <w:pStyle w:val="Body-Table-Text"/>
      </w:pPr>
    </w:p>
    <w:p w:rsidR="000126B0" w:rsidRPr="00C36678" w:rsidRDefault="000126B0" w:rsidP="007D650E">
      <w:pPr>
        <w:pStyle w:val="TableCaption-AR"/>
      </w:pPr>
      <w:r w:rsidRPr="00C36678">
        <w:t>Table 14: Overall Position (OP)</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76"/>
        <w:gridCol w:w="992"/>
        <w:gridCol w:w="992"/>
        <w:gridCol w:w="993"/>
        <w:gridCol w:w="5392"/>
      </w:tblGrid>
      <w:tr w:rsidR="000126B0" w:rsidRPr="00C36678" w:rsidTr="00071129">
        <w:trPr>
          <w:trHeight w:val="367"/>
          <w:tblHeader/>
        </w:trPr>
        <w:tc>
          <w:tcPr>
            <w:tcW w:w="1276" w:type="dxa"/>
            <w:shd w:val="clear" w:color="auto" w:fill="C1ECFF"/>
            <w:vAlign w:val="center"/>
          </w:tcPr>
          <w:p w:rsidR="000126B0" w:rsidRPr="00C36678" w:rsidRDefault="000126B0" w:rsidP="00162A9B">
            <w:pPr>
              <w:pStyle w:val="Body-Table-Heading"/>
              <w:keepNext/>
            </w:pPr>
            <w:r w:rsidRPr="00C36678">
              <w:t>OP band</w:t>
            </w:r>
          </w:p>
        </w:tc>
        <w:tc>
          <w:tcPr>
            <w:tcW w:w="992" w:type="dxa"/>
            <w:shd w:val="clear" w:color="auto" w:fill="C1ECFF"/>
            <w:vAlign w:val="center"/>
          </w:tcPr>
          <w:p w:rsidR="000126B0" w:rsidRPr="00C36678" w:rsidRDefault="000126B0" w:rsidP="00162A9B">
            <w:pPr>
              <w:pStyle w:val="Body-Table-HeadingCentred"/>
              <w:keepNext/>
            </w:pPr>
            <w:r w:rsidRPr="00C36678">
              <w:t>2016</w:t>
            </w:r>
          </w:p>
        </w:tc>
        <w:tc>
          <w:tcPr>
            <w:tcW w:w="992" w:type="dxa"/>
            <w:shd w:val="clear" w:color="auto" w:fill="C1ECFF"/>
            <w:vAlign w:val="center"/>
          </w:tcPr>
          <w:p w:rsidR="000126B0" w:rsidRPr="00C36678" w:rsidRDefault="000126B0" w:rsidP="00162A9B">
            <w:pPr>
              <w:pStyle w:val="Body-Table-HeadingCentred"/>
              <w:keepNext/>
            </w:pPr>
            <w:r w:rsidRPr="00C36678">
              <w:t>2017</w:t>
            </w:r>
          </w:p>
        </w:tc>
        <w:tc>
          <w:tcPr>
            <w:tcW w:w="993" w:type="dxa"/>
            <w:shd w:val="clear" w:color="auto" w:fill="C1ECFF"/>
            <w:vAlign w:val="center"/>
          </w:tcPr>
          <w:p w:rsidR="000126B0" w:rsidRPr="00C36678" w:rsidRDefault="000126B0" w:rsidP="00162A9B">
            <w:pPr>
              <w:pStyle w:val="Body-Table-HeadingCentred"/>
              <w:keepNext/>
            </w:pPr>
            <w:r w:rsidRPr="00C36678">
              <w:t>2018</w:t>
            </w:r>
          </w:p>
        </w:tc>
        <w:tc>
          <w:tcPr>
            <w:tcW w:w="5392" w:type="dxa"/>
            <w:vMerge w:val="restart"/>
            <w:tcBorders>
              <w:top w:val="nil"/>
              <w:bottom w:val="nil"/>
              <w:right w:val="nil"/>
            </w:tcBorders>
            <w:shd w:val="clear" w:color="auto" w:fill="auto"/>
          </w:tcPr>
          <w:p w:rsidR="000126B0" w:rsidRPr="00C36678" w:rsidRDefault="000126B0" w:rsidP="00162A9B">
            <w:pPr>
              <w:pStyle w:val="Body-Text-Smallspace"/>
            </w:pPr>
          </w:p>
          <w:p w:rsidR="000126B0" w:rsidRPr="00C36678" w:rsidRDefault="000126B0" w:rsidP="00162A9B">
            <w:pPr>
              <w:pStyle w:val="Body-Table-Note"/>
              <w:keepNext/>
              <w:rPr>
                <w:u w:color="FF0000"/>
              </w:rPr>
            </w:pPr>
            <w:r w:rsidRPr="00C36678">
              <w:rPr>
                <w:u w:color="FF0000"/>
              </w:rPr>
              <w:t>Note:</w:t>
            </w:r>
          </w:p>
          <w:p w:rsidR="000126B0" w:rsidRPr="00C36678" w:rsidRDefault="000126B0" w:rsidP="00162A9B">
            <w:pPr>
              <w:pStyle w:val="Body-Table-Note"/>
              <w:keepNext/>
              <w:rPr>
                <w:u w:color="FF0000"/>
              </w:rPr>
            </w:pPr>
            <w:r w:rsidRPr="00C36678">
              <w:rPr>
                <w:u w:color="FF0000"/>
              </w:rPr>
              <w:t>The values in table 14:</w:t>
            </w:r>
          </w:p>
          <w:p w:rsidR="000126B0" w:rsidRPr="00C36678" w:rsidRDefault="000126B0" w:rsidP="00162A9B">
            <w:pPr>
              <w:pStyle w:val="Body-Table-Note"/>
              <w:keepNext/>
              <w:tabs>
                <w:tab w:val="left" w:pos="242"/>
              </w:tabs>
              <w:ind w:left="256" w:hanging="256"/>
            </w:pPr>
            <w:r w:rsidRPr="00C36678">
              <w:t>•</w:t>
            </w:r>
            <w:r w:rsidRPr="00C36678">
              <w:tab/>
              <w:t>are as at 11 February 2019</w:t>
            </w:r>
          </w:p>
          <w:p w:rsidR="000126B0" w:rsidRPr="00C36678" w:rsidRDefault="000126B0" w:rsidP="00162A9B">
            <w:pPr>
              <w:pStyle w:val="Body-Table-Note"/>
              <w:keepNext/>
              <w:tabs>
                <w:tab w:val="left" w:pos="242"/>
              </w:tabs>
              <w:ind w:left="256" w:hanging="256"/>
              <w:rPr>
                <w:u w:color="FF0000"/>
              </w:rPr>
            </w:pPr>
            <w:r w:rsidRPr="00C36678">
              <w:t>•</w:t>
            </w:r>
            <w:r w:rsidRPr="00C36678">
              <w:tab/>
              <w:t>ex</w:t>
            </w:r>
            <w:r w:rsidRPr="00C36678">
              <w:rPr>
                <w:u w:color="FF0000"/>
              </w:rPr>
              <w:t xml:space="preserve">clude VISA students </w:t>
            </w:r>
            <w:r w:rsidRPr="00C36678">
              <w:t>(students who are not Australian citizens or permanent residents of Australia)</w:t>
            </w:r>
            <w:r w:rsidRPr="00C36678">
              <w:rPr>
                <w:u w:color="FF0000"/>
              </w:rPr>
              <w:t>.</w:t>
            </w:r>
          </w:p>
          <w:p w:rsidR="000126B0" w:rsidRPr="00C36678" w:rsidRDefault="000126B0" w:rsidP="00162A9B">
            <w:pPr>
              <w:pStyle w:val="Body-Table-Note"/>
              <w:keepNext/>
            </w:pPr>
          </w:p>
        </w:tc>
      </w:tr>
      <w:tr w:rsidR="000126B0" w:rsidRPr="00C36678" w:rsidTr="00214F8D">
        <w:trPr>
          <w:trHeight w:val="367"/>
        </w:trPr>
        <w:tc>
          <w:tcPr>
            <w:tcW w:w="1276" w:type="dxa"/>
            <w:shd w:val="clear" w:color="auto" w:fill="auto"/>
            <w:vAlign w:val="center"/>
          </w:tcPr>
          <w:p w:rsidR="000126B0" w:rsidRPr="00C36678" w:rsidRDefault="000126B0" w:rsidP="00162A9B">
            <w:pPr>
              <w:pStyle w:val="Body-Table-Text"/>
              <w:keepNext/>
              <w:rPr>
                <w:rFonts w:eastAsia="Meiryo"/>
              </w:rPr>
            </w:pPr>
            <w:r w:rsidRPr="00C36678">
              <w:rPr>
                <w:rFonts w:eastAsia="Meiryo"/>
              </w:rPr>
              <w:t>1-5</w:t>
            </w:r>
          </w:p>
        </w:tc>
        <w:tc>
          <w:tcPr>
            <w:tcW w:w="992" w:type="dxa"/>
            <w:shd w:val="clear" w:color="auto" w:fill="auto"/>
            <w:vAlign w:val="center"/>
          </w:tcPr>
          <w:p w:rsidR="000126B0" w:rsidRPr="00C36678" w:rsidRDefault="000126B0" w:rsidP="00162A9B">
            <w:pPr>
              <w:pStyle w:val="Body-Table-TextCentred"/>
              <w:keepNext/>
            </w:pPr>
            <w:r w:rsidRPr="00211E08">
              <w:rPr>
                <w:noProof/>
              </w:rPr>
              <w:t>0</w:t>
            </w:r>
          </w:p>
        </w:tc>
        <w:tc>
          <w:tcPr>
            <w:tcW w:w="992" w:type="dxa"/>
            <w:shd w:val="clear" w:color="auto" w:fill="auto"/>
          </w:tcPr>
          <w:p w:rsidR="000126B0" w:rsidRPr="00C36678" w:rsidRDefault="000126B0" w:rsidP="00162A9B">
            <w:pPr>
              <w:pStyle w:val="Body-Table-TextCentred"/>
              <w:keepNext/>
            </w:pPr>
            <w:r w:rsidRPr="00211E08">
              <w:rPr>
                <w:noProof/>
              </w:rPr>
              <w:t>0</w:t>
            </w:r>
          </w:p>
        </w:tc>
        <w:tc>
          <w:tcPr>
            <w:tcW w:w="993" w:type="dxa"/>
            <w:shd w:val="clear" w:color="auto" w:fill="auto"/>
          </w:tcPr>
          <w:p w:rsidR="000126B0" w:rsidRPr="00C36678" w:rsidRDefault="000126B0" w:rsidP="00214F8D">
            <w:pPr>
              <w:pStyle w:val="Body-Table-TextCentred"/>
              <w:keepNext/>
            </w:pPr>
            <w:r w:rsidRPr="00211E08">
              <w:rPr>
                <w:noProof/>
              </w:rPr>
              <w:t>0</w:t>
            </w:r>
          </w:p>
        </w:tc>
        <w:tc>
          <w:tcPr>
            <w:tcW w:w="5392" w:type="dxa"/>
            <w:vMerge/>
            <w:tcBorders>
              <w:bottom w:val="nil"/>
              <w:right w:val="nil"/>
            </w:tcBorders>
            <w:shd w:val="clear" w:color="auto" w:fill="auto"/>
          </w:tcPr>
          <w:p w:rsidR="000126B0" w:rsidRPr="00C36678" w:rsidRDefault="000126B0" w:rsidP="00162A9B">
            <w:pPr>
              <w:pStyle w:val="Body-Table-Text"/>
              <w:keepNext/>
            </w:pPr>
          </w:p>
        </w:tc>
      </w:tr>
      <w:tr w:rsidR="000126B0" w:rsidRPr="00C36678" w:rsidTr="00214F8D">
        <w:trPr>
          <w:trHeight w:val="367"/>
        </w:trPr>
        <w:tc>
          <w:tcPr>
            <w:tcW w:w="1276" w:type="dxa"/>
            <w:shd w:val="clear" w:color="auto" w:fill="auto"/>
            <w:vAlign w:val="center"/>
          </w:tcPr>
          <w:p w:rsidR="000126B0" w:rsidRPr="00C36678" w:rsidRDefault="000126B0" w:rsidP="00162A9B">
            <w:pPr>
              <w:pStyle w:val="Body-Table-Text"/>
              <w:keepNext/>
              <w:rPr>
                <w:rFonts w:eastAsia="Meiryo"/>
              </w:rPr>
            </w:pPr>
            <w:r w:rsidRPr="00C36678">
              <w:rPr>
                <w:rFonts w:eastAsia="Meiryo"/>
              </w:rPr>
              <w:t>6-10</w:t>
            </w:r>
          </w:p>
        </w:tc>
        <w:tc>
          <w:tcPr>
            <w:tcW w:w="992" w:type="dxa"/>
            <w:shd w:val="clear" w:color="auto" w:fill="auto"/>
          </w:tcPr>
          <w:p w:rsidR="000126B0" w:rsidRPr="00C36678" w:rsidRDefault="000126B0" w:rsidP="00214F8D">
            <w:pPr>
              <w:pStyle w:val="Body-Table-TextCentred"/>
              <w:keepNext/>
            </w:pPr>
            <w:r w:rsidRPr="00211E08">
              <w:rPr>
                <w:noProof/>
              </w:rPr>
              <w:t>0</w:t>
            </w:r>
          </w:p>
        </w:tc>
        <w:tc>
          <w:tcPr>
            <w:tcW w:w="992" w:type="dxa"/>
            <w:shd w:val="clear" w:color="auto" w:fill="auto"/>
          </w:tcPr>
          <w:p w:rsidR="000126B0" w:rsidRPr="00C36678" w:rsidRDefault="000126B0" w:rsidP="00162A9B">
            <w:pPr>
              <w:pStyle w:val="Body-Table-TextCentred"/>
              <w:keepNext/>
            </w:pPr>
            <w:r w:rsidRPr="00211E08">
              <w:rPr>
                <w:noProof/>
              </w:rPr>
              <w:t>0</w:t>
            </w:r>
          </w:p>
        </w:tc>
        <w:tc>
          <w:tcPr>
            <w:tcW w:w="993" w:type="dxa"/>
            <w:shd w:val="clear" w:color="auto" w:fill="auto"/>
          </w:tcPr>
          <w:p w:rsidR="000126B0" w:rsidRPr="00C36678" w:rsidRDefault="000126B0" w:rsidP="00214F8D">
            <w:pPr>
              <w:pStyle w:val="Body-Table-TextCentred"/>
              <w:keepNext/>
            </w:pPr>
            <w:r w:rsidRPr="00211E08">
              <w:rPr>
                <w:noProof/>
              </w:rPr>
              <w:t>0</w:t>
            </w:r>
          </w:p>
        </w:tc>
        <w:tc>
          <w:tcPr>
            <w:tcW w:w="5392" w:type="dxa"/>
            <w:vMerge/>
            <w:tcBorders>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214F8D">
        <w:trPr>
          <w:trHeight w:val="367"/>
        </w:trPr>
        <w:tc>
          <w:tcPr>
            <w:tcW w:w="1276" w:type="dxa"/>
            <w:shd w:val="clear" w:color="auto" w:fill="auto"/>
            <w:vAlign w:val="center"/>
          </w:tcPr>
          <w:p w:rsidR="000126B0" w:rsidRPr="00C36678" w:rsidRDefault="000126B0" w:rsidP="00162A9B">
            <w:pPr>
              <w:pStyle w:val="Body-Table-Text"/>
              <w:keepNext/>
              <w:rPr>
                <w:rFonts w:eastAsia="Meiryo"/>
              </w:rPr>
            </w:pPr>
            <w:r w:rsidRPr="00C36678">
              <w:rPr>
                <w:rFonts w:eastAsia="Meiryo"/>
              </w:rPr>
              <w:t>11-15</w:t>
            </w:r>
          </w:p>
        </w:tc>
        <w:tc>
          <w:tcPr>
            <w:tcW w:w="992" w:type="dxa"/>
            <w:shd w:val="clear" w:color="auto" w:fill="auto"/>
          </w:tcPr>
          <w:p w:rsidR="000126B0" w:rsidRPr="00C36678" w:rsidRDefault="000126B0" w:rsidP="00214F8D">
            <w:pPr>
              <w:pStyle w:val="Body-Table-TextCentred"/>
              <w:keepNext/>
            </w:pPr>
            <w:r w:rsidRPr="00211E08">
              <w:rPr>
                <w:noProof/>
              </w:rPr>
              <w:t>0</w:t>
            </w:r>
          </w:p>
        </w:tc>
        <w:tc>
          <w:tcPr>
            <w:tcW w:w="992" w:type="dxa"/>
            <w:shd w:val="clear" w:color="auto" w:fill="auto"/>
          </w:tcPr>
          <w:p w:rsidR="000126B0" w:rsidRPr="00C36678" w:rsidRDefault="000126B0" w:rsidP="00162A9B">
            <w:pPr>
              <w:pStyle w:val="Body-Table-TextCentred"/>
              <w:keepNext/>
            </w:pPr>
            <w:r w:rsidRPr="00211E08">
              <w:rPr>
                <w:noProof/>
              </w:rPr>
              <w:t>0</w:t>
            </w:r>
          </w:p>
        </w:tc>
        <w:tc>
          <w:tcPr>
            <w:tcW w:w="993" w:type="dxa"/>
            <w:shd w:val="clear" w:color="auto" w:fill="auto"/>
          </w:tcPr>
          <w:p w:rsidR="000126B0" w:rsidRPr="00C36678" w:rsidRDefault="000126B0" w:rsidP="00214F8D">
            <w:pPr>
              <w:pStyle w:val="Body-Table-TextCentred"/>
              <w:keepNext/>
            </w:pPr>
            <w:r w:rsidRPr="00211E08">
              <w:rPr>
                <w:noProof/>
              </w:rPr>
              <w:t>0</w:t>
            </w:r>
          </w:p>
        </w:tc>
        <w:tc>
          <w:tcPr>
            <w:tcW w:w="5392" w:type="dxa"/>
            <w:vMerge/>
            <w:tcBorders>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214F8D">
        <w:trPr>
          <w:trHeight w:val="367"/>
        </w:trPr>
        <w:tc>
          <w:tcPr>
            <w:tcW w:w="1276" w:type="dxa"/>
            <w:shd w:val="clear" w:color="auto" w:fill="auto"/>
            <w:vAlign w:val="center"/>
          </w:tcPr>
          <w:p w:rsidR="000126B0" w:rsidRPr="00C36678" w:rsidRDefault="000126B0" w:rsidP="00162A9B">
            <w:pPr>
              <w:pStyle w:val="Body-Table-Text"/>
              <w:keepNext/>
              <w:rPr>
                <w:rFonts w:eastAsia="Meiryo"/>
              </w:rPr>
            </w:pPr>
            <w:r w:rsidRPr="00C36678">
              <w:rPr>
                <w:rFonts w:eastAsia="Meiryo"/>
              </w:rPr>
              <w:t>16-20</w:t>
            </w:r>
          </w:p>
        </w:tc>
        <w:tc>
          <w:tcPr>
            <w:tcW w:w="992" w:type="dxa"/>
            <w:shd w:val="clear" w:color="auto" w:fill="auto"/>
          </w:tcPr>
          <w:p w:rsidR="000126B0" w:rsidRPr="00214F8D" w:rsidRDefault="000126B0" w:rsidP="00214F8D">
            <w:pPr>
              <w:pStyle w:val="Body-Table-TextCentred"/>
            </w:pPr>
            <w:r w:rsidRPr="00211E08">
              <w:rPr>
                <w:noProof/>
              </w:rPr>
              <w:t>0</w:t>
            </w:r>
          </w:p>
        </w:tc>
        <w:tc>
          <w:tcPr>
            <w:tcW w:w="992" w:type="dxa"/>
            <w:shd w:val="clear" w:color="auto" w:fill="auto"/>
          </w:tcPr>
          <w:p w:rsidR="000126B0" w:rsidRPr="00214F8D" w:rsidRDefault="000126B0" w:rsidP="00214F8D">
            <w:pPr>
              <w:pStyle w:val="Body-Table-TextCentred"/>
            </w:pPr>
            <w:r w:rsidRPr="00211E08">
              <w:rPr>
                <w:noProof/>
              </w:rPr>
              <w:t>0</w:t>
            </w:r>
          </w:p>
        </w:tc>
        <w:tc>
          <w:tcPr>
            <w:tcW w:w="993" w:type="dxa"/>
            <w:shd w:val="clear" w:color="auto" w:fill="auto"/>
          </w:tcPr>
          <w:p w:rsidR="000126B0" w:rsidRPr="00214F8D" w:rsidRDefault="000126B0" w:rsidP="00214F8D">
            <w:pPr>
              <w:pStyle w:val="Body-Table-TextCentred"/>
            </w:pPr>
            <w:r w:rsidRPr="00211E08">
              <w:rPr>
                <w:noProof/>
              </w:rPr>
              <w:t>0</w:t>
            </w:r>
          </w:p>
        </w:tc>
        <w:tc>
          <w:tcPr>
            <w:tcW w:w="5392" w:type="dxa"/>
            <w:vMerge/>
            <w:tcBorders>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214F8D">
        <w:trPr>
          <w:trHeight w:val="367"/>
        </w:trPr>
        <w:tc>
          <w:tcPr>
            <w:tcW w:w="1276" w:type="dxa"/>
            <w:tcBorders>
              <w:bottom w:val="single" w:sz="4" w:space="0" w:color="808080"/>
            </w:tcBorders>
            <w:shd w:val="clear" w:color="auto" w:fill="auto"/>
            <w:vAlign w:val="center"/>
          </w:tcPr>
          <w:p w:rsidR="000126B0" w:rsidRPr="00C36678" w:rsidRDefault="000126B0" w:rsidP="00162A9B">
            <w:pPr>
              <w:pStyle w:val="Body-Table-Text"/>
              <w:keepNext/>
              <w:rPr>
                <w:rFonts w:eastAsia="Meiryo"/>
              </w:rPr>
            </w:pPr>
            <w:r w:rsidRPr="00C36678">
              <w:rPr>
                <w:rFonts w:eastAsia="Meiryo"/>
              </w:rPr>
              <w:t>21-25</w:t>
            </w:r>
          </w:p>
        </w:tc>
        <w:tc>
          <w:tcPr>
            <w:tcW w:w="992" w:type="dxa"/>
            <w:tcBorders>
              <w:bottom w:val="single" w:sz="4" w:space="0" w:color="808080"/>
            </w:tcBorders>
            <w:shd w:val="clear" w:color="auto" w:fill="auto"/>
          </w:tcPr>
          <w:p w:rsidR="000126B0" w:rsidRPr="00214F8D" w:rsidRDefault="000126B0" w:rsidP="00214F8D">
            <w:pPr>
              <w:pStyle w:val="Body-Table-TextCentred"/>
            </w:pPr>
            <w:r w:rsidRPr="00211E08">
              <w:rPr>
                <w:noProof/>
              </w:rPr>
              <w:t>0</w:t>
            </w:r>
          </w:p>
        </w:tc>
        <w:tc>
          <w:tcPr>
            <w:tcW w:w="992" w:type="dxa"/>
            <w:tcBorders>
              <w:bottom w:val="single" w:sz="4" w:space="0" w:color="808080"/>
            </w:tcBorders>
            <w:shd w:val="clear" w:color="auto" w:fill="auto"/>
          </w:tcPr>
          <w:p w:rsidR="000126B0" w:rsidRPr="00214F8D" w:rsidRDefault="000126B0" w:rsidP="00214F8D">
            <w:pPr>
              <w:pStyle w:val="Body-Table-TextCentred"/>
            </w:pPr>
            <w:r w:rsidRPr="00211E08">
              <w:rPr>
                <w:noProof/>
              </w:rPr>
              <w:t>0</w:t>
            </w:r>
          </w:p>
        </w:tc>
        <w:tc>
          <w:tcPr>
            <w:tcW w:w="993" w:type="dxa"/>
            <w:tcBorders>
              <w:bottom w:val="single" w:sz="4" w:space="0" w:color="808080"/>
            </w:tcBorders>
            <w:shd w:val="clear" w:color="auto" w:fill="auto"/>
          </w:tcPr>
          <w:p w:rsidR="000126B0" w:rsidRPr="00214F8D" w:rsidRDefault="000126B0" w:rsidP="00214F8D">
            <w:pPr>
              <w:pStyle w:val="Body-Table-TextCentred"/>
            </w:pPr>
            <w:r w:rsidRPr="00211E08">
              <w:rPr>
                <w:noProof/>
              </w:rPr>
              <w:t>0</w:t>
            </w:r>
          </w:p>
        </w:tc>
        <w:tc>
          <w:tcPr>
            <w:tcW w:w="5392" w:type="dxa"/>
            <w:vMerge/>
            <w:tcBorders>
              <w:bottom w:val="nil"/>
              <w:right w:val="nil"/>
            </w:tcBorders>
            <w:shd w:val="clear" w:color="auto" w:fill="auto"/>
          </w:tcPr>
          <w:p w:rsidR="000126B0" w:rsidRPr="00C36678" w:rsidRDefault="000126B0" w:rsidP="00162A9B">
            <w:pPr>
              <w:pStyle w:val="Body-Table-Text"/>
              <w:keepNext/>
              <w:rPr>
                <w:rFonts w:eastAsia="Meiryo"/>
              </w:rPr>
            </w:pPr>
          </w:p>
        </w:tc>
      </w:tr>
    </w:tbl>
    <w:p w:rsidR="000126B0" w:rsidRPr="00C36678" w:rsidRDefault="000126B0" w:rsidP="00FC0281">
      <w:pPr>
        <w:pStyle w:val="Body-Text-Smallspace"/>
      </w:pPr>
    </w:p>
    <w:p w:rsidR="000126B0" w:rsidRPr="00C36678" w:rsidRDefault="000126B0" w:rsidP="00907B51">
      <w:pPr>
        <w:pStyle w:val="Body-Table-Text"/>
      </w:pPr>
    </w:p>
    <w:p w:rsidR="000126B0" w:rsidRPr="00C36678" w:rsidRDefault="000126B0" w:rsidP="00C00CE1">
      <w:pPr>
        <w:pStyle w:val="TableCaption-AR"/>
      </w:pPr>
      <w:r w:rsidRPr="00C36678">
        <w:lastRenderedPageBreak/>
        <w:t>Table 15: Vocational Education and Training (VET)</w:t>
      </w:r>
    </w:p>
    <w:tbl>
      <w:tblPr>
        <w:tblW w:w="9659" w:type="dxa"/>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2127"/>
        <w:gridCol w:w="946"/>
        <w:gridCol w:w="946"/>
        <w:gridCol w:w="946"/>
        <w:gridCol w:w="4694"/>
      </w:tblGrid>
      <w:tr w:rsidR="000126B0" w:rsidRPr="00C36678" w:rsidTr="00071129">
        <w:trPr>
          <w:trHeight w:val="371"/>
          <w:tblHeader/>
        </w:trPr>
        <w:tc>
          <w:tcPr>
            <w:tcW w:w="2127"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
              <w:keepNext/>
            </w:pPr>
            <w:r w:rsidRPr="00C36678">
              <w:t>VET qualification</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pPr>
            <w:r w:rsidRPr="00C36678">
              <w:t>2016</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pPr>
            <w:r w:rsidRPr="00C36678">
              <w:t>2017</w:t>
            </w:r>
          </w:p>
        </w:tc>
        <w:tc>
          <w:tcPr>
            <w:tcW w:w="946" w:type="dxa"/>
            <w:tcBorders>
              <w:top w:val="single" w:sz="4" w:space="0" w:color="808080"/>
              <w:left w:val="single" w:sz="4" w:space="0" w:color="808080"/>
              <w:bottom w:val="single" w:sz="4" w:space="0" w:color="808080"/>
              <w:right w:val="single" w:sz="4" w:space="0" w:color="808080"/>
            </w:tcBorders>
            <w:shd w:val="clear" w:color="auto" w:fill="C1ECFF"/>
            <w:vAlign w:val="center"/>
          </w:tcPr>
          <w:p w:rsidR="000126B0" w:rsidRPr="00C36678" w:rsidRDefault="000126B0" w:rsidP="00162A9B">
            <w:pPr>
              <w:pStyle w:val="Body-Table-HeadingCentred"/>
              <w:keepNext/>
            </w:pPr>
            <w:r w:rsidRPr="00C36678">
              <w:t>2018</w:t>
            </w:r>
          </w:p>
        </w:tc>
        <w:tc>
          <w:tcPr>
            <w:tcW w:w="4694" w:type="dxa"/>
            <w:vMerge w:val="restart"/>
            <w:tcBorders>
              <w:top w:val="nil"/>
              <w:left w:val="single" w:sz="4" w:space="0" w:color="808080"/>
              <w:bottom w:val="nil"/>
              <w:right w:val="nil"/>
            </w:tcBorders>
            <w:shd w:val="clear" w:color="auto" w:fill="auto"/>
          </w:tcPr>
          <w:p w:rsidR="000126B0" w:rsidRPr="00C36678" w:rsidRDefault="000126B0" w:rsidP="00162A9B">
            <w:pPr>
              <w:pStyle w:val="Body-Text-Smallspace"/>
            </w:pPr>
          </w:p>
          <w:p w:rsidR="000126B0" w:rsidRPr="00C36678" w:rsidRDefault="000126B0" w:rsidP="00162A9B">
            <w:pPr>
              <w:pStyle w:val="Body-Table-Note"/>
              <w:keepNext/>
              <w:rPr>
                <w:u w:color="FF0000"/>
              </w:rPr>
            </w:pPr>
            <w:r w:rsidRPr="00C36678">
              <w:rPr>
                <w:u w:color="FF0000"/>
              </w:rPr>
              <w:t>Note:</w:t>
            </w:r>
          </w:p>
          <w:p w:rsidR="000126B0" w:rsidRPr="00C36678" w:rsidRDefault="000126B0" w:rsidP="00162A9B">
            <w:pPr>
              <w:pStyle w:val="Body-Table-Note"/>
              <w:keepNext/>
              <w:rPr>
                <w:u w:color="FF0000"/>
              </w:rPr>
            </w:pPr>
            <w:r w:rsidRPr="00C36678">
              <w:rPr>
                <w:u w:color="FF0000"/>
              </w:rPr>
              <w:t>The values in table 15:</w:t>
            </w:r>
          </w:p>
          <w:p w:rsidR="000126B0" w:rsidRPr="00C36678" w:rsidRDefault="000126B0" w:rsidP="00162A9B">
            <w:pPr>
              <w:pStyle w:val="Body-Table-Note"/>
              <w:keepNext/>
              <w:tabs>
                <w:tab w:val="left" w:pos="242"/>
              </w:tabs>
              <w:ind w:left="256" w:hanging="256"/>
              <w:rPr>
                <w:u w:color="FF0000"/>
              </w:rPr>
            </w:pPr>
            <w:r w:rsidRPr="00C36678">
              <w:t>•</w:t>
            </w:r>
            <w:r w:rsidRPr="00C36678">
              <w:tab/>
              <w:t xml:space="preserve">are </w:t>
            </w:r>
            <w:r w:rsidRPr="00C36678">
              <w:rPr>
                <w:u w:color="FF0000"/>
              </w:rPr>
              <w:t>as at 11 February 2019</w:t>
            </w:r>
          </w:p>
          <w:p w:rsidR="000126B0" w:rsidRPr="00C36678" w:rsidRDefault="000126B0" w:rsidP="00162A9B">
            <w:pPr>
              <w:pStyle w:val="Body-Table-Note"/>
              <w:keepNext/>
              <w:tabs>
                <w:tab w:val="left" w:pos="242"/>
              </w:tabs>
              <w:ind w:left="256" w:hanging="256"/>
              <w:rPr>
                <w:u w:color="FF0000"/>
              </w:rPr>
            </w:pPr>
            <w:r w:rsidRPr="00C36678">
              <w:t>•</w:t>
            </w:r>
            <w:r w:rsidRPr="00C36678">
              <w:tab/>
            </w:r>
            <w:r w:rsidRPr="00C36678">
              <w:rPr>
                <w:u w:color="FF0000"/>
              </w:rPr>
              <w:t xml:space="preserve">exclude VISA students </w:t>
            </w:r>
            <w:r w:rsidRPr="00C36678">
              <w:t>(students who are not Australian citizens or permanent residents of Australia)</w:t>
            </w:r>
            <w:r w:rsidRPr="00C36678">
              <w:rPr>
                <w:u w:color="FF0000"/>
              </w:rPr>
              <w:t>.</w:t>
            </w:r>
          </w:p>
        </w:tc>
      </w:tr>
      <w:tr w:rsidR="000126B0" w:rsidRPr="00C36678" w:rsidTr="00071129">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rPr>
                <w:rFonts w:eastAsia="Meiryo"/>
              </w:rPr>
            </w:pPr>
            <w:r w:rsidRPr="00C36678">
              <w:t>Certificate I</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4</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3</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11</w:t>
            </w:r>
          </w:p>
        </w:tc>
        <w:tc>
          <w:tcPr>
            <w:tcW w:w="4694" w:type="dxa"/>
            <w:vMerge/>
            <w:tcBorders>
              <w:left w:val="single" w:sz="4" w:space="0" w:color="808080"/>
              <w:bottom w:val="nil"/>
              <w:right w:val="nil"/>
            </w:tcBorders>
            <w:shd w:val="clear" w:color="auto" w:fill="auto"/>
          </w:tcPr>
          <w:p w:rsidR="000126B0" w:rsidRPr="00C36678" w:rsidRDefault="000126B0" w:rsidP="00162A9B">
            <w:pPr>
              <w:pStyle w:val="Body-Table-Text"/>
              <w:keepNext/>
            </w:pPr>
          </w:p>
        </w:tc>
      </w:tr>
      <w:tr w:rsidR="000126B0" w:rsidRPr="00C36678" w:rsidTr="00071129">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rPr>
                <w:rFonts w:eastAsia="Meiryo"/>
              </w:rPr>
            </w:pPr>
            <w:r w:rsidRPr="00C36678">
              <w:t>Certificate II</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2</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7</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3</w:t>
            </w:r>
          </w:p>
        </w:tc>
        <w:tc>
          <w:tcPr>
            <w:tcW w:w="4694" w:type="dxa"/>
            <w:vMerge/>
            <w:tcBorders>
              <w:left w:val="single" w:sz="4" w:space="0" w:color="808080"/>
              <w:bottom w:val="nil"/>
              <w:right w:val="nil"/>
            </w:tcBorders>
            <w:shd w:val="clear" w:color="auto" w:fill="auto"/>
          </w:tcPr>
          <w:p w:rsidR="000126B0" w:rsidRPr="00C36678" w:rsidRDefault="000126B0" w:rsidP="00162A9B">
            <w:pPr>
              <w:pStyle w:val="Body-Table-Text"/>
              <w:keepNext/>
              <w:rPr>
                <w:rFonts w:eastAsia="Meiryo"/>
              </w:rPr>
            </w:pPr>
          </w:p>
        </w:tc>
      </w:tr>
      <w:tr w:rsidR="000126B0" w:rsidRPr="00C36678" w:rsidTr="00794C20">
        <w:trPr>
          <w:trHeight w:val="371"/>
        </w:trPr>
        <w:tc>
          <w:tcPr>
            <w:tcW w:w="2127"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
              <w:keepNext/>
              <w:rPr>
                <w:rFonts w:eastAsia="Meiryo"/>
              </w:rPr>
            </w:pPr>
            <w:r w:rsidRPr="00C36678">
              <w:t>Certificate III or above</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0</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0</w:t>
            </w:r>
          </w:p>
        </w:tc>
        <w:tc>
          <w:tcPr>
            <w:tcW w:w="9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0126B0" w:rsidRPr="00C36678" w:rsidRDefault="000126B0" w:rsidP="00162A9B">
            <w:pPr>
              <w:pStyle w:val="Body-Table-TextCentred"/>
              <w:keepNext/>
            </w:pPr>
            <w:r w:rsidRPr="00211E08">
              <w:rPr>
                <w:noProof/>
              </w:rPr>
              <w:t>0</w:t>
            </w:r>
          </w:p>
        </w:tc>
        <w:tc>
          <w:tcPr>
            <w:tcW w:w="4694" w:type="dxa"/>
            <w:vMerge/>
            <w:tcBorders>
              <w:left w:val="single" w:sz="4" w:space="0" w:color="808080"/>
              <w:bottom w:val="nil"/>
              <w:right w:val="nil"/>
            </w:tcBorders>
            <w:shd w:val="clear" w:color="auto" w:fill="auto"/>
          </w:tcPr>
          <w:p w:rsidR="000126B0" w:rsidRPr="00C36678" w:rsidRDefault="000126B0" w:rsidP="00162A9B">
            <w:pPr>
              <w:pStyle w:val="Body-Table-Text"/>
              <w:keepNext/>
              <w:rPr>
                <w:rFonts w:eastAsia="Meiryo"/>
              </w:rPr>
            </w:pPr>
          </w:p>
        </w:tc>
      </w:tr>
    </w:tbl>
    <w:p w:rsidR="000126B0" w:rsidRPr="00C36678" w:rsidRDefault="000126B0" w:rsidP="00AE6C76">
      <w:pPr>
        <w:pStyle w:val="Body-Text-Smallspace"/>
      </w:pPr>
    </w:p>
    <w:p w:rsidR="000126B0" w:rsidRPr="00C36678" w:rsidRDefault="000126B0" w:rsidP="00D33473">
      <w:pPr>
        <w:pStyle w:val="Body-Instructions-Text"/>
        <w:rPr>
          <w:lang w:eastAsia="en-US"/>
        </w:rPr>
      </w:pPr>
    </w:p>
    <w:p w:rsidR="006B4348" w:rsidRPr="00DC73B5" w:rsidRDefault="006B4348" w:rsidP="00FF7F06">
      <w:pPr>
        <w:spacing w:after="0"/>
        <w:jc w:val="both"/>
        <w:rPr>
          <w:rFonts w:eastAsia="SimSun" w:cs="Times New Roman"/>
          <w:bCs w:val="0"/>
          <w:szCs w:val="19"/>
          <w:lang w:val="en-US"/>
        </w:rPr>
      </w:pPr>
      <w:r w:rsidRPr="00DC73B5">
        <w:rPr>
          <w:rFonts w:eastAsia="SimSun" w:cs="Times New Roman"/>
          <w:bCs w:val="0"/>
          <w:szCs w:val="19"/>
          <w:lang w:val="en-US"/>
        </w:rPr>
        <w:t>In 2018, Clifford Park Special School used the Re</w:t>
      </w:r>
      <w:r w:rsidR="00DC73B5">
        <w:rPr>
          <w:rFonts w:eastAsia="SimSun" w:cs="Times New Roman"/>
          <w:bCs w:val="0"/>
          <w:szCs w:val="19"/>
          <w:lang w:val="en-US"/>
        </w:rPr>
        <w:t>gistered Training Organizations</w:t>
      </w:r>
      <w:r w:rsidRPr="00DC73B5">
        <w:rPr>
          <w:rFonts w:eastAsia="SimSun" w:cs="Times New Roman"/>
          <w:bCs w:val="0"/>
          <w:szCs w:val="19"/>
          <w:lang w:val="en-US"/>
        </w:rPr>
        <w:t xml:space="preserve"> Rural Training Queensland </w:t>
      </w:r>
      <w:r w:rsidR="00DC73B5">
        <w:rPr>
          <w:rFonts w:eastAsia="SimSun" w:cs="Times New Roman"/>
          <w:bCs w:val="0"/>
          <w:szCs w:val="19"/>
          <w:lang w:val="en-US"/>
        </w:rPr>
        <w:t>and Youth E</w:t>
      </w:r>
      <w:r w:rsidR="00DC73B5" w:rsidRPr="00DC73B5">
        <w:rPr>
          <w:rFonts w:eastAsia="SimSun" w:cs="Times New Roman"/>
          <w:bCs w:val="0"/>
          <w:szCs w:val="19"/>
          <w:lang w:val="en-US"/>
        </w:rPr>
        <w:t xml:space="preserve">mployment Training Australia </w:t>
      </w:r>
      <w:r w:rsidRPr="00DC73B5">
        <w:rPr>
          <w:rFonts w:eastAsia="SimSun" w:cs="Times New Roman"/>
          <w:bCs w:val="0"/>
          <w:szCs w:val="19"/>
          <w:lang w:val="en-US"/>
        </w:rPr>
        <w:t>to assist in the deliver</w:t>
      </w:r>
      <w:r w:rsidR="00462457">
        <w:rPr>
          <w:rFonts w:eastAsia="SimSun" w:cs="Times New Roman"/>
          <w:bCs w:val="0"/>
          <w:szCs w:val="19"/>
          <w:lang w:val="en-US"/>
        </w:rPr>
        <w:t>y of certificate courses.  Eleven</w:t>
      </w:r>
      <w:r w:rsidRPr="00DC73B5">
        <w:rPr>
          <w:rFonts w:eastAsia="SimSun" w:cs="Times New Roman"/>
          <w:bCs w:val="0"/>
          <w:szCs w:val="19"/>
          <w:lang w:val="en-US"/>
        </w:rPr>
        <w:t xml:space="preserve"> students accomplis</w:t>
      </w:r>
      <w:r w:rsidR="00462457">
        <w:rPr>
          <w:rFonts w:eastAsia="SimSun" w:cs="Times New Roman"/>
          <w:bCs w:val="0"/>
          <w:szCs w:val="19"/>
          <w:lang w:val="en-US"/>
        </w:rPr>
        <w:t>hed a Certificate 1 in Horticulture.   Three</w:t>
      </w:r>
      <w:r w:rsidRPr="00DC73B5">
        <w:rPr>
          <w:rFonts w:eastAsia="SimSun" w:cs="Times New Roman"/>
          <w:bCs w:val="0"/>
          <w:szCs w:val="19"/>
          <w:lang w:val="en-US"/>
        </w:rPr>
        <w:t xml:space="preserve"> students </w:t>
      </w:r>
      <w:r w:rsidR="00462457">
        <w:rPr>
          <w:rFonts w:eastAsia="SimSun" w:cs="Times New Roman"/>
          <w:bCs w:val="0"/>
          <w:szCs w:val="19"/>
          <w:lang w:val="en-US"/>
        </w:rPr>
        <w:t>engaged in a</w:t>
      </w:r>
      <w:r w:rsidRPr="00DC73B5">
        <w:rPr>
          <w:rFonts w:eastAsia="SimSun" w:cs="Times New Roman"/>
          <w:bCs w:val="0"/>
          <w:szCs w:val="19"/>
          <w:lang w:val="en-US"/>
        </w:rPr>
        <w:t xml:space="preserve"> Certificate 2</w:t>
      </w:r>
      <w:r w:rsidR="00462457">
        <w:rPr>
          <w:rFonts w:eastAsia="SimSun" w:cs="Times New Roman"/>
          <w:bCs w:val="0"/>
          <w:szCs w:val="19"/>
          <w:lang w:val="en-US"/>
        </w:rPr>
        <w:t>, one in Salo</w:t>
      </w:r>
      <w:r w:rsidR="00FF7F06">
        <w:rPr>
          <w:rFonts w:eastAsia="SimSun" w:cs="Times New Roman"/>
          <w:bCs w:val="0"/>
          <w:szCs w:val="19"/>
          <w:lang w:val="en-US"/>
        </w:rPr>
        <w:t xml:space="preserve">n Assistant, and two students </w:t>
      </w:r>
      <w:r w:rsidR="00462457">
        <w:rPr>
          <w:rFonts w:eastAsia="SimSun" w:cs="Times New Roman"/>
          <w:bCs w:val="0"/>
          <w:szCs w:val="19"/>
          <w:lang w:val="en-US"/>
        </w:rPr>
        <w:t xml:space="preserve"> completed Horticulture. These students completed their Certificate 2 within a Traineeship.</w:t>
      </w:r>
      <w:r w:rsidRPr="00DC73B5">
        <w:rPr>
          <w:rFonts w:eastAsia="SimSun" w:cs="Times New Roman"/>
          <w:bCs w:val="0"/>
          <w:szCs w:val="19"/>
          <w:lang w:val="en-US"/>
        </w:rPr>
        <w:t xml:space="preserve"> </w:t>
      </w:r>
      <w:r w:rsidR="00462457">
        <w:rPr>
          <w:rFonts w:eastAsia="SimSun" w:cs="Times New Roman"/>
          <w:bCs w:val="0"/>
          <w:szCs w:val="19"/>
          <w:lang w:val="en-US"/>
        </w:rPr>
        <w:t xml:space="preserve"> A number of students commenced Certificate </w:t>
      </w:r>
      <w:r w:rsidR="00FF7F06">
        <w:rPr>
          <w:rFonts w:eastAsia="SimSun" w:cs="Times New Roman"/>
          <w:bCs w:val="0"/>
          <w:szCs w:val="19"/>
          <w:lang w:val="en-US"/>
        </w:rPr>
        <w:t xml:space="preserve">2 </w:t>
      </w:r>
      <w:r w:rsidR="00462457">
        <w:rPr>
          <w:rFonts w:eastAsia="SimSun" w:cs="Times New Roman"/>
          <w:bCs w:val="0"/>
          <w:szCs w:val="19"/>
          <w:lang w:val="en-US"/>
        </w:rPr>
        <w:t>in Rural Operations and will complete the course in 2019.</w:t>
      </w:r>
    </w:p>
    <w:p w:rsidR="000126B0" w:rsidRPr="00C36678" w:rsidRDefault="000126B0" w:rsidP="00F66436">
      <w:pPr>
        <w:pStyle w:val="Body-Text"/>
        <w:rPr>
          <w:lang w:eastAsia="en-US"/>
        </w:rPr>
      </w:pPr>
    </w:p>
    <w:p w:rsidR="000126B0" w:rsidRPr="00C36678" w:rsidRDefault="000126B0" w:rsidP="00AE6C76">
      <w:pPr>
        <w:pStyle w:val="Body-Text-Smallspace"/>
      </w:pPr>
    </w:p>
    <w:p w:rsidR="000126B0" w:rsidRPr="00C36678" w:rsidRDefault="000126B0" w:rsidP="00F66436">
      <w:pPr>
        <w:pStyle w:val="Heading2-AR"/>
      </w:pPr>
      <w:r w:rsidRPr="00C36678">
        <w:t>Apparent retention rate – Year 10 to Year 12</w:t>
      </w:r>
    </w:p>
    <w:p w:rsidR="000126B0" w:rsidRPr="00C36678" w:rsidRDefault="000126B0" w:rsidP="003F55F9">
      <w:pPr>
        <w:pStyle w:val="Body-Text-Smallspace"/>
      </w:pPr>
    </w:p>
    <w:p w:rsidR="000126B0" w:rsidRPr="00C36678" w:rsidRDefault="000126B0" w:rsidP="00464665">
      <w:pPr>
        <w:pStyle w:val="TableCaption-AR"/>
      </w:pPr>
      <w:r w:rsidRPr="00C36678">
        <w:t>Table 16: Apparent retention rates for Year 10 to Year 12 for this school</w:t>
      </w:r>
    </w:p>
    <w:tbl>
      <w:tblPr>
        <w:tblW w:w="963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523"/>
        <w:gridCol w:w="1036"/>
        <w:gridCol w:w="1036"/>
        <w:gridCol w:w="1036"/>
      </w:tblGrid>
      <w:tr w:rsidR="000126B0" w:rsidRPr="00C36678" w:rsidTr="00071129">
        <w:trPr>
          <w:trHeight w:val="340"/>
        </w:trPr>
        <w:tc>
          <w:tcPr>
            <w:tcW w:w="6523" w:type="dxa"/>
            <w:shd w:val="clear" w:color="auto" w:fill="C1ECFF"/>
            <w:vAlign w:val="center"/>
          </w:tcPr>
          <w:p w:rsidR="000126B0" w:rsidRPr="00C36678" w:rsidRDefault="000126B0" w:rsidP="00162A9B">
            <w:pPr>
              <w:pStyle w:val="Body-Table-Heading"/>
              <w:keepNext/>
            </w:pPr>
            <w:r w:rsidRPr="00C36678">
              <w:t>Description</w:t>
            </w:r>
          </w:p>
        </w:tc>
        <w:tc>
          <w:tcPr>
            <w:tcW w:w="1036" w:type="dxa"/>
            <w:shd w:val="clear" w:color="auto" w:fill="C1ECFF"/>
            <w:vAlign w:val="center"/>
          </w:tcPr>
          <w:p w:rsidR="000126B0" w:rsidRPr="00C36678" w:rsidRDefault="000126B0" w:rsidP="00162A9B">
            <w:pPr>
              <w:pStyle w:val="Body-Table-HeadingCentred"/>
              <w:keepNext/>
            </w:pPr>
            <w:r w:rsidRPr="00C36678">
              <w:t>2016</w:t>
            </w:r>
          </w:p>
        </w:tc>
        <w:tc>
          <w:tcPr>
            <w:tcW w:w="1036" w:type="dxa"/>
            <w:shd w:val="clear" w:color="auto" w:fill="C1ECFF"/>
            <w:vAlign w:val="center"/>
          </w:tcPr>
          <w:p w:rsidR="000126B0" w:rsidRPr="00C36678" w:rsidRDefault="000126B0" w:rsidP="00162A9B">
            <w:pPr>
              <w:pStyle w:val="Body-Table-HeadingCentred"/>
              <w:keepNext/>
            </w:pPr>
            <w:r w:rsidRPr="00C36678">
              <w:t>2017</w:t>
            </w:r>
          </w:p>
        </w:tc>
        <w:tc>
          <w:tcPr>
            <w:tcW w:w="1036" w:type="dxa"/>
            <w:shd w:val="clear" w:color="auto" w:fill="C1ECFF"/>
            <w:vAlign w:val="center"/>
          </w:tcPr>
          <w:p w:rsidR="000126B0" w:rsidRPr="00C36678" w:rsidRDefault="000126B0" w:rsidP="00162A9B">
            <w:pPr>
              <w:pStyle w:val="Body-Table-HeadingCentred"/>
              <w:keepNext/>
            </w:pPr>
            <w:r w:rsidRPr="00C36678">
              <w:t>2018</w:t>
            </w:r>
          </w:p>
        </w:tc>
      </w:tr>
      <w:tr w:rsidR="000126B0" w:rsidRPr="00C36678" w:rsidTr="00071129">
        <w:trPr>
          <w:trHeight w:val="340"/>
        </w:trPr>
        <w:tc>
          <w:tcPr>
            <w:tcW w:w="6523" w:type="dxa"/>
            <w:shd w:val="clear" w:color="auto" w:fill="auto"/>
            <w:vAlign w:val="center"/>
          </w:tcPr>
          <w:p w:rsidR="000126B0" w:rsidRPr="00C36678" w:rsidRDefault="000126B0" w:rsidP="00162A9B">
            <w:pPr>
              <w:pStyle w:val="Body-Table-Text"/>
              <w:keepNext/>
              <w:rPr>
                <w:rFonts w:eastAsia="Meiryo"/>
                <w:szCs w:val="16"/>
              </w:rPr>
            </w:pPr>
            <w:r w:rsidRPr="00C36678">
              <w:t>Year 12 student enrolment as a percentage of the Year 10 student cohort</w:t>
            </w:r>
          </w:p>
        </w:tc>
        <w:tc>
          <w:tcPr>
            <w:tcW w:w="1036" w:type="dxa"/>
            <w:shd w:val="clear" w:color="auto" w:fill="auto"/>
            <w:vAlign w:val="center"/>
          </w:tcPr>
          <w:p w:rsidR="000126B0" w:rsidRPr="00C36678" w:rsidRDefault="000126B0" w:rsidP="00162A9B">
            <w:pPr>
              <w:pStyle w:val="Body-Table-TextCentred"/>
              <w:keepNext/>
              <w:rPr>
                <w:szCs w:val="16"/>
              </w:rPr>
            </w:pPr>
          </w:p>
        </w:tc>
        <w:tc>
          <w:tcPr>
            <w:tcW w:w="1036" w:type="dxa"/>
            <w:shd w:val="clear" w:color="auto" w:fill="auto"/>
            <w:vAlign w:val="center"/>
          </w:tcPr>
          <w:p w:rsidR="000126B0" w:rsidRPr="00C36678" w:rsidRDefault="000126B0" w:rsidP="00162A9B">
            <w:pPr>
              <w:pStyle w:val="Body-Table-TextCentred"/>
              <w:keepNext/>
              <w:rPr>
                <w:szCs w:val="16"/>
              </w:rPr>
            </w:pPr>
            <w:r w:rsidRPr="00211E08">
              <w:rPr>
                <w:noProof/>
                <w:szCs w:val="16"/>
              </w:rPr>
              <w:t>100%</w:t>
            </w:r>
          </w:p>
        </w:tc>
        <w:tc>
          <w:tcPr>
            <w:tcW w:w="1036" w:type="dxa"/>
            <w:shd w:val="clear" w:color="auto" w:fill="auto"/>
            <w:vAlign w:val="center"/>
          </w:tcPr>
          <w:p w:rsidR="000126B0" w:rsidRPr="00C36678" w:rsidRDefault="000126B0" w:rsidP="004D5B71">
            <w:pPr>
              <w:pStyle w:val="Body-Table-TextCentred"/>
              <w:keepNext/>
              <w:rPr>
                <w:szCs w:val="16"/>
              </w:rPr>
            </w:pPr>
            <w:r w:rsidRPr="00211E08">
              <w:rPr>
                <w:noProof/>
                <w:szCs w:val="16"/>
              </w:rPr>
              <w:t>1</w:t>
            </w:r>
            <w:r w:rsidR="004D5B71">
              <w:rPr>
                <w:noProof/>
                <w:szCs w:val="16"/>
              </w:rPr>
              <w:t>12</w:t>
            </w:r>
            <w:r w:rsidRPr="00211E08">
              <w:rPr>
                <w:noProof/>
                <w:szCs w:val="16"/>
              </w:rPr>
              <w:t>%</w:t>
            </w:r>
          </w:p>
        </w:tc>
      </w:tr>
      <w:tr w:rsidR="000126B0" w:rsidRPr="00C36678" w:rsidTr="00071129">
        <w:trPr>
          <w:trHeight w:val="340"/>
        </w:trPr>
        <w:tc>
          <w:tcPr>
            <w:tcW w:w="6523" w:type="dxa"/>
            <w:tcBorders>
              <w:bottom w:val="single" w:sz="4" w:space="0" w:color="808080"/>
            </w:tcBorders>
            <w:shd w:val="clear" w:color="auto" w:fill="auto"/>
            <w:vAlign w:val="center"/>
          </w:tcPr>
          <w:p w:rsidR="000126B0" w:rsidRPr="00C36678" w:rsidRDefault="000126B0" w:rsidP="00162A9B">
            <w:pPr>
              <w:pStyle w:val="Body-Table-Text"/>
              <w:keepNext/>
              <w:rPr>
                <w:rFonts w:eastAsia="Meiryo"/>
                <w:szCs w:val="16"/>
              </w:rPr>
            </w:pPr>
            <w:r w:rsidRPr="00C36678">
              <w:t>Year 12 Indigenous student enrolment as a percentage of the Year 10 Indigenous student cohort</w:t>
            </w:r>
          </w:p>
        </w:tc>
        <w:tc>
          <w:tcPr>
            <w:tcW w:w="1036" w:type="dxa"/>
            <w:tcBorders>
              <w:bottom w:val="single" w:sz="4" w:space="0" w:color="808080"/>
            </w:tcBorders>
            <w:shd w:val="clear" w:color="auto" w:fill="auto"/>
            <w:vAlign w:val="center"/>
          </w:tcPr>
          <w:p w:rsidR="000126B0" w:rsidRPr="00C36678" w:rsidRDefault="000126B0" w:rsidP="00162A9B">
            <w:pPr>
              <w:pStyle w:val="Body-Table-TextCentred"/>
              <w:keepNext/>
              <w:rPr>
                <w:szCs w:val="16"/>
              </w:rPr>
            </w:pPr>
          </w:p>
        </w:tc>
        <w:tc>
          <w:tcPr>
            <w:tcW w:w="1036" w:type="dxa"/>
            <w:tcBorders>
              <w:bottom w:val="single" w:sz="4" w:space="0" w:color="808080"/>
            </w:tcBorders>
            <w:shd w:val="clear" w:color="auto" w:fill="auto"/>
            <w:vAlign w:val="center"/>
          </w:tcPr>
          <w:p w:rsidR="000126B0" w:rsidRPr="00C36678" w:rsidRDefault="000126B0" w:rsidP="00162A9B">
            <w:pPr>
              <w:pStyle w:val="Body-Table-TextCentred"/>
              <w:keepNext/>
              <w:rPr>
                <w:szCs w:val="16"/>
              </w:rPr>
            </w:pPr>
            <w:r w:rsidRPr="00211E08">
              <w:rPr>
                <w:noProof/>
                <w:szCs w:val="16"/>
              </w:rPr>
              <w:t>67%</w:t>
            </w:r>
          </w:p>
        </w:tc>
        <w:tc>
          <w:tcPr>
            <w:tcW w:w="1036" w:type="dxa"/>
            <w:tcBorders>
              <w:bottom w:val="single" w:sz="4" w:space="0" w:color="808080"/>
            </w:tcBorders>
            <w:shd w:val="clear" w:color="auto" w:fill="auto"/>
            <w:vAlign w:val="center"/>
          </w:tcPr>
          <w:p w:rsidR="000126B0" w:rsidRPr="00C36678" w:rsidRDefault="00FF7F06" w:rsidP="00E4000A">
            <w:pPr>
              <w:pStyle w:val="Body-Table-TextCentred"/>
              <w:keepNext/>
              <w:rPr>
                <w:szCs w:val="16"/>
              </w:rPr>
            </w:pPr>
            <w:r>
              <w:rPr>
                <w:noProof/>
                <w:szCs w:val="16"/>
              </w:rPr>
              <w:t>66%</w:t>
            </w:r>
          </w:p>
        </w:tc>
      </w:tr>
      <w:tr w:rsidR="000126B0" w:rsidRPr="00C36678" w:rsidTr="00071129">
        <w:trPr>
          <w:trHeight w:val="340"/>
        </w:trPr>
        <w:tc>
          <w:tcPr>
            <w:tcW w:w="9631" w:type="dxa"/>
            <w:gridSpan w:val="4"/>
            <w:tcBorders>
              <w:left w:val="nil"/>
              <w:bottom w:val="nil"/>
              <w:right w:val="nil"/>
            </w:tcBorders>
            <w:shd w:val="clear" w:color="auto" w:fill="auto"/>
            <w:vAlign w:val="center"/>
          </w:tcPr>
          <w:p w:rsidR="000126B0" w:rsidRPr="00C36678" w:rsidRDefault="000126B0" w:rsidP="00162A9B">
            <w:pPr>
              <w:pStyle w:val="Body-Text-Smallspace"/>
            </w:pPr>
          </w:p>
          <w:p w:rsidR="000126B0" w:rsidRPr="00C36678" w:rsidRDefault="000126B0" w:rsidP="00162A9B">
            <w:pPr>
              <w:pStyle w:val="Body-Table-Note"/>
              <w:keepNext/>
              <w:rPr>
                <w:rFonts w:eastAsia="Meiryo"/>
              </w:rPr>
            </w:pPr>
            <w:r w:rsidRPr="00C36678">
              <w:rPr>
                <w:rFonts w:eastAsia="Meiryo"/>
              </w:rPr>
              <w:t xml:space="preserve">Notes: </w:t>
            </w:r>
          </w:p>
          <w:p w:rsidR="000126B0" w:rsidRPr="00C36678" w:rsidRDefault="000126B0" w:rsidP="00162A9B">
            <w:pPr>
              <w:pStyle w:val="Body-Table-Note"/>
              <w:keepNext/>
              <w:tabs>
                <w:tab w:val="left" w:pos="264"/>
              </w:tabs>
              <w:ind w:left="294" w:hanging="294"/>
              <w:rPr>
                <w:rFonts w:eastAsia="Meiryo"/>
              </w:rPr>
            </w:pPr>
            <w:r w:rsidRPr="00C36678">
              <w:rPr>
                <w:rFonts w:eastAsia="Meiryo"/>
              </w:rPr>
              <w:t>1.</w:t>
            </w:r>
            <w:r w:rsidRPr="00C36678">
              <w:rPr>
                <w:rFonts w:eastAsia="Meiryo"/>
              </w:rPr>
              <w:tab/>
              <w:t>The apparent retention rate for Year 10 to Year 12 = the number of full time students in Year 12 expressed as the percentage of those students who were in Year 10 two years previously (this may be greater than 100%).</w:t>
            </w:r>
          </w:p>
          <w:p w:rsidR="000126B0" w:rsidRPr="00C36678" w:rsidRDefault="000126B0" w:rsidP="00162A9B">
            <w:pPr>
              <w:pStyle w:val="Body-Table-Note"/>
              <w:keepNext/>
              <w:tabs>
                <w:tab w:val="left" w:pos="264"/>
              </w:tabs>
              <w:ind w:left="294" w:hanging="294"/>
              <w:rPr>
                <w:rFonts w:eastAsia="Meiryo"/>
              </w:rPr>
            </w:pPr>
            <w:r w:rsidRPr="00C36678">
              <w:rPr>
                <w:rFonts w:eastAsia="Meiryo"/>
              </w:rPr>
              <w:t>2.</w:t>
            </w:r>
            <w:r w:rsidRPr="00C36678">
              <w:rPr>
                <w:rFonts w:eastAsia="Meiryo"/>
              </w:rPr>
              <w:tab/>
            </w:r>
            <w:r w:rsidRPr="00C36678">
              <w:rPr>
                <w:i/>
                <w:u w:color="FF0000"/>
              </w:rPr>
              <w:t>Indigenous</w:t>
            </w:r>
            <w:r w:rsidRPr="00C36678">
              <w:rPr>
                <w:u w:color="FF0000"/>
              </w:rPr>
              <w:t xml:space="preserve"> refers to Aboriginal and Torres Strait Islander people of Australia.</w:t>
            </w:r>
          </w:p>
        </w:tc>
      </w:tr>
    </w:tbl>
    <w:p w:rsidR="000126B0" w:rsidRPr="00C36678" w:rsidRDefault="000126B0" w:rsidP="00AE6C76">
      <w:pPr>
        <w:pStyle w:val="Body-Text-Smallspace"/>
      </w:pPr>
    </w:p>
    <w:p w:rsidR="000126B0" w:rsidRPr="00C36678" w:rsidRDefault="000126B0" w:rsidP="00497EC5">
      <w:pPr>
        <w:pStyle w:val="Heading2-AR"/>
      </w:pPr>
      <w:r w:rsidRPr="00C36678">
        <w:t>Student destinations</w:t>
      </w:r>
    </w:p>
    <w:p w:rsidR="000126B0" w:rsidRPr="00C36678" w:rsidRDefault="000126B0" w:rsidP="00464665">
      <w:pPr>
        <w:pStyle w:val="Body-Text"/>
      </w:pPr>
      <w:r w:rsidRPr="00C36678">
        <w:t xml:space="preserve">The Queensland Department of Education conducts </w:t>
      </w:r>
      <w:hyperlink r:id="rId27" w:history="1">
        <w:r w:rsidRPr="00C36678">
          <w:rPr>
            <w:rStyle w:val="Hyperlink"/>
          </w:rPr>
          <w:t>annual surveys</w:t>
        </w:r>
      </w:hyperlink>
      <w:r w:rsidRPr="00C36678">
        <w:t xml:space="preserve"> that capture information about the journey of early school leavers and Year 12 leavers from school to further study and employment.</w:t>
      </w:r>
    </w:p>
    <w:p w:rsidR="000126B0" w:rsidRPr="00C36678" w:rsidRDefault="000126B0" w:rsidP="00AE6C76">
      <w:pPr>
        <w:pStyle w:val="Body-Text-Smallspace"/>
      </w:pPr>
    </w:p>
    <w:p w:rsidR="000126B0" w:rsidRPr="00C36678" w:rsidRDefault="000126B0" w:rsidP="00464665">
      <w:pPr>
        <w:pStyle w:val="Heading3-AR"/>
      </w:pPr>
      <w:r w:rsidRPr="00C36678">
        <w:t>Early school leavers</w:t>
      </w:r>
    </w:p>
    <w:p w:rsidR="000126B0" w:rsidRDefault="000126B0" w:rsidP="00993519">
      <w:pPr>
        <w:pStyle w:val="Body-Text"/>
      </w:pPr>
      <w:r w:rsidRPr="00C36678">
        <w:t>The destinations of young people who left this school in Year 10, 11 or before completing Year 12 are described below.</w:t>
      </w:r>
    </w:p>
    <w:p w:rsidR="000126B0" w:rsidRPr="00C36678" w:rsidRDefault="00BB1257" w:rsidP="00BB1257">
      <w:pPr>
        <w:spacing w:after="0"/>
        <w:jc w:val="both"/>
      </w:pPr>
      <w:r w:rsidRPr="00BB1257">
        <w:rPr>
          <w:bCs w:val="0"/>
          <w:szCs w:val="19"/>
          <w:lang w:eastAsia="zh-CN"/>
        </w:rPr>
        <w:t>In 2018, there were a number of students who reduced their full-time enrolment to part-time enrolment in their last year of school.  These students were successful in gaining employment in supported work placements.  Securing a position in supported work placements can be difficult, so part-time placements are an excellent means of safeguarding a job while completing studies to achieve their Queensland Certificate of Individual Achievement (QCIA).</w:t>
      </w:r>
      <w:r>
        <w:rPr>
          <w:bCs w:val="0"/>
          <w:szCs w:val="19"/>
          <w:lang w:eastAsia="zh-CN"/>
        </w:rPr>
        <w:t xml:space="preserve">  </w:t>
      </w:r>
    </w:p>
    <w:p w:rsidR="000126B0" w:rsidRPr="00C36678" w:rsidRDefault="000126B0" w:rsidP="00FC0281">
      <w:pPr>
        <w:pStyle w:val="Body-Text-Smallspace"/>
      </w:pPr>
    </w:p>
    <w:p w:rsidR="000126B0" w:rsidRPr="00C36678" w:rsidRDefault="000126B0" w:rsidP="00BB1257">
      <w:pPr>
        <w:pStyle w:val="Heading3-AR"/>
      </w:pPr>
      <w:r w:rsidRPr="00C36678">
        <w:t xml:space="preserve">Next </w:t>
      </w:r>
      <w:r w:rsidR="00BB1257">
        <w:t>Step – Post-school destinations</w:t>
      </w:r>
      <w:r w:rsidRPr="00C36678">
        <w:t xml:space="preserve">. </w:t>
      </w:r>
    </w:p>
    <w:p w:rsidR="000126B0" w:rsidRPr="00C36678" w:rsidRDefault="000126B0" w:rsidP="00993519">
      <w:pPr>
        <w:pStyle w:val="Body-Text"/>
      </w:pPr>
      <w:r w:rsidRPr="00C36678">
        <w:t xml:space="preserve">The results of the 2019 Next Step post-school destinations survey, </w:t>
      </w:r>
      <w:r w:rsidRPr="00C36678">
        <w:rPr>
          <w:i/>
        </w:rPr>
        <w:t xml:space="preserve">Next Step – Post-School Destinations </w:t>
      </w:r>
      <w:r w:rsidRPr="00C36678">
        <w:t>report (information about students who completed Year 12 in 2018), will be uploaded to this school’s website in September 2019.</w:t>
      </w:r>
    </w:p>
    <w:p w:rsidR="000126B0" w:rsidRPr="00C36678" w:rsidRDefault="000126B0" w:rsidP="00993519">
      <w:pPr>
        <w:pStyle w:val="Body-Text"/>
      </w:pPr>
      <w:r w:rsidRPr="00C36678">
        <w:rPr>
          <w:lang w:eastAsia="en-US"/>
        </w:rPr>
        <w:t xml:space="preserve">To maintain privacy and confidentiality of individuals, </w:t>
      </w:r>
      <w:r w:rsidRPr="00C36678">
        <w:t>schools with fewer than five responses will not have a report available.</w:t>
      </w:r>
    </w:p>
    <w:p w:rsidR="000126B0" w:rsidRDefault="000126B0" w:rsidP="005D2687">
      <w:pPr>
        <w:pStyle w:val="Body-Text"/>
        <w:rPr>
          <w:lang w:eastAsia="en-US"/>
        </w:rPr>
        <w:sectPr w:rsidR="000126B0" w:rsidSect="00BB5435">
          <w:headerReference w:type="even" r:id="rId28"/>
          <w:headerReference w:type="default" r:id="rId29"/>
          <w:headerReference w:type="first" r:id="rId30"/>
          <w:pgSz w:w="11906" w:h="16838"/>
          <w:pgMar w:top="1134" w:right="1134" w:bottom="1134" w:left="1134" w:header="567" w:footer="567" w:gutter="0"/>
          <w:cols w:space="709"/>
          <w:docGrid w:linePitch="360"/>
        </w:sectPr>
      </w:pPr>
      <w:r w:rsidRPr="0092552A">
        <w:t>This school’s report will be available</w:t>
      </w:r>
      <w:r>
        <w:t xml:space="preserve"> at </w:t>
      </w:r>
      <w:hyperlink r:id="rId31" w:history="1">
        <w:r w:rsidRPr="000126B0">
          <w:rPr>
            <w:rStyle w:val="Hyperlink"/>
            <w:noProof/>
          </w:rPr>
          <w:t>http://www.cliffordparkspecs.eq.edu.au/Supportandresources/Formsanddocuments/Pages/Documents.aspx</w:t>
        </w:r>
      </w:hyperlink>
      <w:r>
        <w:t xml:space="preserve"> </w:t>
      </w:r>
      <w:r w:rsidRPr="0092552A">
        <w:t xml:space="preserve"> </w:t>
      </w:r>
    </w:p>
    <w:p w:rsidR="000126B0" w:rsidRPr="00C36678" w:rsidRDefault="000126B0" w:rsidP="005D2687">
      <w:pPr>
        <w:pStyle w:val="Body-Text"/>
        <w:rPr>
          <w:lang w:eastAsia="en-US"/>
        </w:rPr>
      </w:pPr>
    </w:p>
    <w:sectPr w:rsidR="000126B0" w:rsidRPr="00C36678" w:rsidSect="000126B0">
      <w:headerReference w:type="even" r:id="rId32"/>
      <w:headerReference w:type="default" r:id="rId33"/>
      <w:headerReference w:type="first" r:id="rId34"/>
      <w:type w:val="continuous"/>
      <w:pgSz w:w="11906" w:h="16838"/>
      <w:pgMar w:top="1134" w:right="1134" w:bottom="1134"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5D" w:rsidRDefault="003E6B5D" w:rsidP="00DF75DD">
      <w:r>
        <w:separator/>
      </w:r>
    </w:p>
  </w:endnote>
  <w:endnote w:type="continuationSeparator" w:id="0">
    <w:p w:rsidR="003E6B5D" w:rsidRDefault="003E6B5D" w:rsidP="00DF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FD" w:rsidRDefault="000F3EFD" w:rsidP="0063618A">
    <w:pPr>
      <w:pStyle w:val="Footer"/>
      <w:pBdr>
        <w:top w:val="single" w:sz="12" w:space="6" w:color="003D69"/>
      </w:pBdr>
      <w:ind w:firstLine="8505"/>
    </w:pPr>
    <w:r>
      <w:rPr>
        <w:noProof/>
        <w:lang w:eastAsia="zh-TW"/>
      </w:rPr>
      <w:drawing>
        <wp:inline distT="0" distB="0" distL="0" distR="0">
          <wp:extent cx="1651000" cy="539750"/>
          <wp:effectExtent l="0" t="0" r="0" b="0"/>
          <wp:docPr id="9" name="Picture 9"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39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FD" w:rsidRDefault="000F3EFD" w:rsidP="00794C20">
    <w:pPr>
      <w:pStyle w:val="Footer"/>
      <w:tabs>
        <w:tab w:val="clear" w:pos="4513"/>
        <w:tab w:val="clear" w:pos="9026"/>
        <w:tab w:val="right" w:pos="9639"/>
      </w:tabs>
      <w:rPr>
        <w:b/>
        <w:noProof/>
        <w:color w:val="003D69"/>
        <w:sz w:val="21"/>
        <w:szCs w:val="21"/>
        <w:u w:val="single"/>
      </w:rPr>
    </w:pPr>
    <w:r w:rsidRPr="00674F88">
      <w:t xml:space="preserve">2018 Annual Report  </w:t>
    </w:r>
    <w:r>
      <w:tab/>
    </w:r>
    <w:r w:rsidRPr="0063618A">
      <w:rPr>
        <w:b/>
        <w:color w:val="003D69"/>
        <w:sz w:val="21"/>
        <w:szCs w:val="21"/>
        <w:u w:val="single"/>
      </w:rPr>
      <w:fldChar w:fldCharType="begin"/>
    </w:r>
    <w:r w:rsidRPr="0063618A">
      <w:rPr>
        <w:b/>
        <w:color w:val="003D69"/>
        <w:sz w:val="21"/>
        <w:szCs w:val="21"/>
        <w:u w:val="single"/>
      </w:rPr>
      <w:instrText xml:space="preserve"> PAGE   \* MERGEFORMAT </w:instrText>
    </w:r>
    <w:r w:rsidRPr="0063618A">
      <w:rPr>
        <w:b/>
        <w:color w:val="003D69"/>
        <w:sz w:val="21"/>
        <w:szCs w:val="21"/>
        <w:u w:val="single"/>
      </w:rPr>
      <w:fldChar w:fldCharType="separate"/>
    </w:r>
    <w:r w:rsidR="001D7A60">
      <w:rPr>
        <w:b/>
        <w:noProof/>
        <w:color w:val="003D69"/>
        <w:sz w:val="21"/>
        <w:szCs w:val="21"/>
        <w:u w:val="single"/>
      </w:rPr>
      <w:t>15</w:t>
    </w:r>
    <w:r w:rsidRPr="0063618A">
      <w:rPr>
        <w:b/>
        <w:noProof/>
        <w:color w:val="003D69"/>
        <w:sz w:val="21"/>
        <w:szCs w:val="21"/>
        <w:u w:val="single"/>
      </w:rPr>
      <w:fldChar w:fldCharType="end"/>
    </w:r>
  </w:p>
  <w:p w:rsidR="000F3EFD" w:rsidRPr="00214F8D" w:rsidRDefault="000F3EFD" w:rsidP="00214F8D">
    <w:pPr>
      <w:pStyle w:val="Footer"/>
    </w:pPr>
    <w:r w:rsidRPr="00211E08">
      <w:rPr>
        <w:noProof/>
      </w:rPr>
      <w:t>Clifford Park Special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5D" w:rsidRDefault="003E6B5D" w:rsidP="00DF75DD">
      <w:r>
        <w:separator/>
      </w:r>
    </w:p>
  </w:footnote>
  <w:footnote w:type="continuationSeparator" w:id="0">
    <w:p w:rsidR="003E6B5D" w:rsidRDefault="003E6B5D" w:rsidP="00DF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FD" w:rsidRDefault="000F3EFD" w:rsidP="00DF7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FD" w:rsidRDefault="000F3EFD" w:rsidP="00DF7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FD" w:rsidRDefault="000F3EFD" w:rsidP="00DF75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FD" w:rsidRDefault="000F3EFD" w:rsidP="00DF75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FD" w:rsidRDefault="000F3EFD" w:rsidP="00DF75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FD" w:rsidRDefault="000F3EFD" w:rsidP="00DF7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1">
    <w:nsid w:val="FFFFFF88"/>
    <w:multiLevelType w:val="singleLevel"/>
    <w:tmpl w:val="3B4E7F42"/>
    <w:lvl w:ilvl="0">
      <w:start w:val="1"/>
      <w:numFmt w:val="decimal"/>
      <w:pStyle w:val="Body-Instructions-ListNumber"/>
      <w:lvlText w:val="%1."/>
      <w:lvlJc w:val="left"/>
      <w:pPr>
        <w:tabs>
          <w:tab w:val="num" w:pos="360"/>
        </w:tabs>
        <w:ind w:left="360" w:hanging="360"/>
      </w:pPr>
      <w:rPr>
        <w:rFonts w:hint="default"/>
      </w:rPr>
    </w:lvl>
  </w:abstractNum>
  <w:abstractNum w:abstractNumId="1" w15:restartNumberingAfterBreak="1">
    <w:nsid w:val="FFFFFF89"/>
    <w:multiLevelType w:val="singleLevel"/>
    <w:tmpl w:val="F9CE02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21932E8"/>
    <w:multiLevelType w:val="hybridMultilevel"/>
    <w:tmpl w:val="3D347F5A"/>
    <w:lvl w:ilvl="0" w:tplc="2A4E4DCC">
      <w:start w:val="1"/>
      <w:numFmt w:val="bullet"/>
      <w:pStyle w:val="Body-Instructions-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9112C"/>
    <w:multiLevelType w:val="hybridMultilevel"/>
    <w:tmpl w:val="D38884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B2CDF"/>
    <w:multiLevelType w:val="hybridMultilevel"/>
    <w:tmpl w:val="6C5C8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900F3C"/>
    <w:multiLevelType w:val="hybridMultilevel"/>
    <w:tmpl w:val="C2804620"/>
    <w:lvl w:ilvl="0" w:tplc="06A2D7B4">
      <w:start w:val="1"/>
      <w:numFmt w:val="decimal"/>
      <w:lvlText w:val="%1."/>
      <w:lvlJc w:val="left"/>
      <w:pPr>
        <w:ind w:left="360" w:hanging="360"/>
      </w:pPr>
      <w:rPr>
        <w:rFonts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26AB3586"/>
    <w:multiLevelType w:val="hybridMultilevel"/>
    <w:tmpl w:val="340ABAAC"/>
    <w:lvl w:ilvl="0" w:tplc="A01E233E">
      <w:start w:val="1"/>
      <w:numFmt w:val="bullet"/>
      <w:pStyle w:val="Body-Text-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5E2650"/>
    <w:multiLevelType w:val="hybridMultilevel"/>
    <w:tmpl w:val="5E94C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B96BA2"/>
    <w:multiLevelType w:val="hybridMultilevel"/>
    <w:tmpl w:val="BAD28C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1">
    <w:nsid w:val="40967CDE"/>
    <w:multiLevelType w:val="hybridMultilevel"/>
    <w:tmpl w:val="6CD494A4"/>
    <w:lvl w:ilvl="0" w:tplc="01765E64">
      <w:start w:val="1"/>
      <w:numFmt w:val="bullet"/>
      <w:pStyle w:val="Body-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B15"/>
    <w:multiLevelType w:val="hybridMultilevel"/>
    <w:tmpl w:val="BD169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312199"/>
    <w:multiLevelType w:val="hybridMultilevel"/>
    <w:tmpl w:val="1CC8A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6470BB"/>
    <w:multiLevelType w:val="hybridMultilevel"/>
    <w:tmpl w:val="BC140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FD1B0B"/>
    <w:multiLevelType w:val="hybridMultilevel"/>
    <w:tmpl w:val="30AA4C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6C41FE"/>
    <w:multiLevelType w:val="hybridMultilevel"/>
    <w:tmpl w:val="A92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1E5369"/>
    <w:multiLevelType w:val="hybridMultilevel"/>
    <w:tmpl w:val="592ED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AE65F7"/>
    <w:multiLevelType w:val="hybridMultilevel"/>
    <w:tmpl w:val="FE1AF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1">
    <w:nsid w:val="560F44FF"/>
    <w:multiLevelType w:val="hybridMultilevel"/>
    <w:tmpl w:val="B26C5D8E"/>
    <w:lvl w:ilvl="0" w:tplc="A8AEB0B0">
      <w:start w:val="1"/>
      <w:numFmt w:val="decimal"/>
      <w:pStyle w:val="Body-Text-List-Numb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845F8"/>
    <w:multiLevelType w:val="multilevel"/>
    <w:tmpl w:val="D83AAD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20ED1"/>
    <w:multiLevelType w:val="hybridMultilevel"/>
    <w:tmpl w:val="3A24D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F4275CD"/>
    <w:multiLevelType w:val="hybridMultilevel"/>
    <w:tmpl w:val="637E36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7"/>
  </w:num>
  <w:num w:numId="5">
    <w:abstractNumId w:val="0"/>
    <w:lvlOverride w:ilvl="0">
      <w:startOverride w:val="1"/>
    </w:lvlOverride>
  </w:num>
  <w:num w:numId="6">
    <w:abstractNumId w:val="6"/>
  </w:num>
  <w:num w:numId="7">
    <w:abstractNumId w:val="9"/>
  </w:num>
  <w:num w:numId="8">
    <w:abstractNumId w:val="17"/>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
  </w:num>
  <w:num w:numId="13">
    <w:abstractNumId w:val="8"/>
  </w:num>
  <w:num w:numId="14">
    <w:abstractNumId w:val="10"/>
  </w:num>
  <w:num w:numId="15">
    <w:abstractNumId w:val="19"/>
  </w:num>
  <w:num w:numId="16">
    <w:abstractNumId w:val="15"/>
  </w:num>
  <w:num w:numId="17">
    <w:abstractNumId w:val="12"/>
  </w:num>
  <w:num w:numId="18">
    <w:abstractNumId w:val="18"/>
  </w:num>
  <w:num w:numId="19">
    <w:abstractNumId w:val="4"/>
  </w:num>
  <w:num w:numId="20">
    <w:abstractNumId w:val="3"/>
  </w:num>
  <w:num w:numId="21">
    <w:abstractNumId w:val="13"/>
  </w:num>
  <w:num w:numId="22">
    <w:abstractNumId w:val="20"/>
  </w:num>
  <w:num w:numId="23">
    <w:abstractNumId w:val="11"/>
  </w:num>
  <w:num w:numId="24">
    <w:abstractNumId w:val="5"/>
  </w:num>
  <w:num w:numId="25">
    <w:abstractNumId w:val="16"/>
  </w:num>
  <w:num w:numId="26">
    <w:abstractNumId w:val="7"/>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16"/>
    <w:rsid w:val="000009DC"/>
    <w:rsid w:val="000021A0"/>
    <w:rsid w:val="00002311"/>
    <w:rsid w:val="00005B35"/>
    <w:rsid w:val="00007D0B"/>
    <w:rsid w:val="00011D7E"/>
    <w:rsid w:val="00011F98"/>
    <w:rsid w:val="000126B0"/>
    <w:rsid w:val="000129D4"/>
    <w:rsid w:val="00013B22"/>
    <w:rsid w:val="00016C63"/>
    <w:rsid w:val="00016FE6"/>
    <w:rsid w:val="00017B66"/>
    <w:rsid w:val="000210BD"/>
    <w:rsid w:val="000219FC"/>
    <w:rsid w:val="00026640"/>
    <w:rsid w:val="00033F95"/>
    <w:rsid w:val="000351F9"/>
    <w:rsid w:val="0003546E"/>
    <w:rsid w:val="00037CBB"/>
    <w:rsid w:val="00042E36"/>
    <w:rsid w:val="00046D54"/>
    <w:rsid w:val="00050CC4"/>
    <w:rsid w:val="00051D1E"/>
    <w:rsid w:val="00053B37"/>
    <w:rsid w:val="000570B7"/>
    <w:rsid w:val="000571A6"/>
    <w:rsid w:val="000629B6"/>
    <w:rsid w:val="000637B9"/>
    <w:rsid w:val="000642CF"/>
    <w:rsid w:val="0006486B"/>
    <w:rsid w:val="00067474"/>
    <w:rsid w:val="00067807"/>
    <w:rsid w:val="00071129"/>
    <w:rsid w:val="00071A1B"/>
    <w:rsid w:val="00074CA7"/>
    <w:rsid w:val="0007536E"/>
    <w:rsid w:val="00084ACA"/>
    <w:rsid w:val="00085065"/>
    <w:rsid w:val="000854C0"/>
    <w:rsid w:val="00086DE0"/>
    <w:rsid w:val="00087491"/>
    <w:rsid w:val="00092426"/>
    <w:rsid w:val="00092697"/>
    <w:rsid w:val="0009496A"/>
    <w:rsid w:val="00094A1E"/>
    <w:rsid w:val="00097E0F"/>
    <w:rsid w:val="000A013A"/>
    <w:rsid w:val="000A22BF"/>
    <w:rsid w:val="000A3A08"/>
    <w:rsid w:val="000A3E11"/>
    <w:rsid w:val="000A4E48"/>
    <w:rsid w:val="000A6C71"/>
    <w:rsid w:val="000A73B9"/>
    <w:rsid w:val="000B2AB6"/>
    <w:rsid w:val="000B399F"/>
    <w:rsid w:val="000B5566"/>
    <w:rsid w:val="000C11AB"/>
    <w:rsid w:val="000C1AF2"/>
    <w:rsid w:val="000C3B7B"/>
    <w:rsid w:val="000C49A0"/>
    <w:rsid w:val="000C4E1F"/>
    <w:rsid w:val="000C6EB2"/>
    <w:rsid w:val="000D0E0F"/>
    <w:rsid w:val="000D3881"/>
    <w:rsid w:val="000D6EEB"/>
    <w:rsid w:val="000D7B05"/>
    <w:rsid w:val="000E206D"/>
    <w:rsid w:val="000E48AD"/>
    <w:rsid w:val="000E4E11"/>
    <w:rsid w:val="000E57AB"/>
    <w:rsid w:val="000E6586"/>
    <w:rsid w:val="000E65D0"/>
    <w:rsid w:val="000E66B4"/>
    <w:rsid w:val="000E6906"/>
    <w:rsid w:val="000F2A19"/>
    <w:rsid w:val="000F3EFD"/>
    <w:rsid w:val="000F71BB"/>
    <w:rsid w:val="000F7A58"/>
    <w:rsid w:val="00100BF9"/>
    <w:rsid w:val="00101E93"/>
    <w:rsid w:val="001023C8"/>
    <w:rsid w:val="00104498"/>
    <w:rsid w:val="00105284"/>
    <w:rsid w:val="00106D22"/>
    <w:rsid w:val="001071D4"/>
    <w:rsid w:val="0010764B"/>
    <w:rsid w:val="00112C49"/>
    <w:rsid w:val="001171CB"/>
    <w:rsid w:val="00121746"/>
    <w:rsid w:val="00121E5B"/>
    <w:rsid w:val="00122B25"/>
    <w:rsid w:val="00132F9A"/>
    <w:rsid w:val="00137F26"/>
    <w:rsid w:val="0014133B"/>
    <w:rsid w:val="0014432F"/>
    <w:rsid w:val="00144A92"/>
    <w:rsid w:val="00146C75"/>
    <w:rsid w:val="00147F16"/>
    <w:rsid w:val="00150E59"/>
    <w:rsid w:val="001530D5"/>
    <w:rsid w:val="00157BC2"/>
    <w:rsid w:val="00162A9B"/>
    <w:rsid w:val="00163C6E"/>
    <w:rsid w:val="00165C13"/>
    <w:rsid w:val="0016724A"/>
    <w:rsid w:val="00170B21"/>
    <w:rsid w:val="00173F0B"/>
    <w:rsid w:val="00174D98"/>
    <w:rsid w:val="001764C7"/>
    <w:rsid w:val="00177759"/>
    <w:rsid w:val="00180992"/>
    <w:rsid w:val="0018221B"/>
    <w:rsid w:val="00185848"/>
    <w:rsid w:val="001922FC"/>
    <w:rsid w:val="00193277"/>
    <w:rsid w:val="0019406A"/>
    <w:rsid w:val="00194BCA"/>
    <w:rsid w:val="00197B14"/>
    <w:rsid w:val="001A2236"/>
    <w:rsid w:val="001B089B"/>
    <w:rsid w:val="001B208C"/>
    <w:rsid w:val="001B26F8"/>
    <w:rsid w:val="001B2B40"/>
    <w:rsid w:val="001B3FDE"/>
    <w:rsid w:val="001B4102"/>
    <w:rsid w:val="001B4538"/>
    <w:rsid w:val="001B4C47"/>
    <w:rsid w:val="001C209E"/>
    <w:rsid w:val="001C4A1F"/>
    <w:rsid w:val="001C5019"/>
    <w:rsid w:val="001C5EC7"/>
    <w:rsid w:val="001C6423"/>
    <w:rsid w:val="001C7D60"/>
    <w:rsid w:val="001D52BA"/>
    <w:rsid w:val="001D58CC"/>
    <w:rsid w:val="001D6593"/>
    <w:rsid w:val="001D7A60"/>
    <w:rsid w:val="001E1025"/>
    <w:rsid w:val="001E27EE"/>
    <w:rsid w:val="001E432E"/>
    <w:rsid w:val="001E604E"/>
    <w:rsid w:val="001E69BD"/>
    <w:rsid w:val="001F0A6C"/>
    <w:rsid w:val="001F2E19"/>
    <w:rsid w:val="001F2FA3"/>
    <w:rsid w:val="001F464B"/>
    <w:rsid w:val="00200AD3"/>
    <w:rsid w:val="00201117"/>
    <w:rsid w:val="00206182"/>
    <w:rsid w:val="00206D02"/>
    <w:rsid w:val="00207144"/>
    <w:rsid w:val="0021034E"/>
    <w:rsid w:val="0021434D"/>
    <w:rsid w:val="00214F8D"/>
    <w:rsid w:val="0021629E"/>
    <w:rsid w:val="00217D04"/>
    <w:rsid w:val="00220637"/>
    <w:rsid w:val="002213B8"/>
    <w:rsid w:val="00221616"/>
    <w:rsid w:val="00221775"/>
    <w:rsid w:val="0022215F"/>
    <w:rsid w:val="00223C4C"/>
    <w:rsid w:val="00225160"/>
    <w:rsid w:val="00225D57"/>
    <w:rsid w:val="00225FD6"/>
    <w:rsid w:val="00226CF3"/>
    <w:rsid w:val="00226D21"/>
    <w:rsid w:val="00231427"/>
    <w:rsid w:val="00233DDC"/>
    <w:rsid w:val="00240E9E"/>
    <w:rsid w:val="00241009"/>
    <w:rsid w:val="00247CBF"/>
    <w:rsid w:val="0025089A"/>
    <w:rsid w:val="002524F2"/>
    <w:rsid w:val="002526A1"/>
    <w:rsid w:val="0025282B"/>
    <w:rsid w:val="00253BBB"/>
    <w:rsid w:val="0025442F"/>
    <w:rsid w:val="002647D2"/>
    <w:rsid w:val="00265F02"/>
    <w:rsid w:val="00274A63"/>
    <w:rsid w:val="00276905"/>
    <w:rsid w:val="00281CF2"/>
    <w:rsid w:val="002837C8"/>
    <w:rsid w:val="002840D9"/>
    <w:rsid w:val="00285A13"/>
    <w:rsid w:val="00286407"/>
    <w:rsid w:val="00290446"/>
    <w:rsid w:val="0029114F"/>
    <w:rsid w:val="0029743D"/>
    <w:rsid w:val="002A09AB"/>
    <w:rsid w:val="002A223C"/>
    <w:rsid w:val="002A2251"/>
    <w:rsid w:val="002A2D07"/>
    <w:rsid w:val="002A520A"/>
    <w:rsid w:val="002A5BFC"/>
    <w:rsid w:val="002A77C9"/>
    <w:rsid w:val="002A7B6E"/>
    <w:rsid w:val="002B0B35"/>
    <w:rsid w:val="002B66B4"/>
    <w:rsid w:val="002C152C"/>
    <w:rsid w:val="002C64F4"/>
    <w:rsid w:val="002C7570"/>
    <w:rsid w:val="002D1CAE"/>
    <w:rsid w:val="002D6035"/>
    <w:rsid w:val="002E2DF2"/>
    <w:rsid w:val="002E68FA"/>
    <w:rsid w:val="002F0E58"/>
    <w:rsid w:val="0030463A"/>
    <w:rsid w:val="00304926"/>
    <w:rsid w:val="00306F81"/>
    <w:rsid w:val="0031105E"/>
    <w:rsid w:val="0031267B"/>
    <w:rsid w:val="00313FFE"/>
    <w:rsid w:val="00315E24"/>
    <w:rsid w:val="003169A9"/>
    <w:rsid w:val="00317993"/>
    <w:rsid w:val="00323411"/>
    <w:rsid w:val="0032696D"/>
    <w:rsid w:val="00326D25"/>
    <w:rsid w:val="003301E5"/>
    <w:rsid w:val="00331A79"/>
    <w:rsid w:val="00332B38"/>
    <w:rsid w:val="00333A4F"/>
    <w:rsid w:val="00334174"/>
    <w:rsid w:val="0033601A"/>
    <w:rsid w:val="0034048F"/>
    <w:rsid w:val="00341D8F"/>
    <w:rsid w:val="0034457D"/>
    <w:rsid w:val="003473C4"/>
    <w:rsid w:val="00351E28"/>
    <w:rsid w:val="00354AA9"/>
    <w:rsid w:val="00362FE8"/>
    <w:rsid w:val="003664A6"/>
    <w:rsid w:val="00366D44"/>
    <w:rsid w:val="003712E9"/>
    <w:rsid w:val="00371E3A"/>
    <w:rsid w:val="003723FD"/>
    <w:rsid w:val="00372CE7"/>
    <w:rsid w:val="003760B6"/>
    <w:rsid w:val="003826C9"/>
    <w:rsid w:val="003851BF"/>
    <w:rsid w:val="003852CF"/>
    <w:rsid w:val="003870EE"/>
    <w:rsid w:val="00387F20"/>
    <w:rsid w:val="00390B48"/>
    <w:rsid w:val="00395816"/>
    <w:rsid w:val="003979C0"/>
    <w:rsid w:val="003A19BE"/>
    <w:rsid w:val="003A4B54"/>
    <w:rsid w:val="003A6F34"/>
    <w:rsid w:val="003B373D"/>
    <w:rsid w:val="003B39CC"/>
    <w:rsid w:val="003C2369"/>
    <w:rsid w:val="003C7AEA"/>
    <w:rsid w:val="003C7B67"/>
    <w:rsid w:val="003D261F"/>
    <w:rsid w:val="003D2E65"/>
    <w:rsid w:val="003D4C2B"/>
    <w:rsid w:val="003D68BA"/>
    <w:rsid w:val="003E2525"/>
    <w:rsid w:val="003E6B5D"/>
    <w:rsid w:val="003E76BC"/>
    <w:rsid w:val="003F03BB"/>
    <w:rsid w:val="003F0A3F"/>
    <w:rsid w:val="003F26A8"/>
    <w:rsid w:val="003F4216"/>
    <w:rsid w:val="003F55F9"/>
    <w:rsid w:val="003F5FFD"/>
    <w:rsid w:val="003F7332"/>
    <w:rsid w:val="00400BCA"/>
    <w:rsid w:val="00401F60"/>
    <w:rsid w:val="004079B0"/>
    <w:rsid w:val="00413771"/>
    <w:rsid w:val="0041387B"/>
    <w:rsid w:val="00415E61"/>
    <w:rsid w:val="004222A3"/>
    <w:rsid w:val="00424A70"/>
    <w:rsid w:val="00424EA5"/>
    <w:rsid w:val="00430E56"/>
    <w:rsid w:val="00431D03"/>
    <w:rsid w:val="00432DE9"/>
    <w:rsid w:val="004332D7"/>
    <w:rsid w:val="00433EE8"/>
    <w:rsid w:val="0043634E"/>
    <w:rsid w:val="00436B90"/>
    <w:rsid w:val="00441BD1"/>
    <w:rsid w:val="00444582"/>
    <w:rsid w:val="00444819"/>
    <w:rsid w:val="00444F6C"/>
    <w:rsid w:val="00446F29"/>
    <w:rsid w:val="004536E9"/>
    <w:rsid w:val="00456662"/>
    <w:rsid w:val="00456B80"/>
    <w:rsid w:val="00456FE9"/>
    <w:rsid w:val="004621C3"/>
    <w:rsid w:val="00462457"/>
    <w:rsid w:val="00464665"/>
    <w:rsid w:val="004648F9"/>
    <w:rsid w:val="004650CD"/>
    <w:rsid w:val="004653A0"/>
    <w:rsid w:val="00465FB5"/>
    <w:rsid w:val="00470B5E"/>
    <w:rsid w:val="00473756"/>
    <w:rsid w:val="004832D4"/>
    <w:rsid w:val="004858A8"/>
    <w:rsid w:val="00495481"/>
    <w:rsid w:val="00495849"/>
    <w:rsid w:val="00496364"/>
    <w:rsid w:val="00496657"/>
    <w:rsid w:val="00497EC5"/>
    <w:rsid w:val="004A0900"/>
    <w:rsid w:val="004A2568"/>
    <w:rsid w:val="004A3D3A"/>
    <w:rsid w:val="004A3E2D"/>
    <w:rsid w:val="004B036B"/>
    <w:rsid w:val="004B0B04"/>
    <w:rsid w:val="004B0F3E"/>
    <w:rsid w:val="004B30DE"/>
    <w:rsid w:val="004C0A4B"/>
    <w:rsid w:val="004C6460"/>
    <w:rsid w:val="004D108B"/>
    <w:rsid w:val="004D2AE0"/>
    <w:rsid w:val="004D4333"/>
    <w:rsid w:val="004D4B7E"/>
    <w:rsid w:val="004D588C"/>
    <w:rsid w:val="004D5B71"/>
    <w:rsid w:val="004D6107"/>
    <w:rsid w:val="004D775B"/>
    <w:rsid w:val="004E1953"/>
    <w:rsid w:val="004E234A"/>
    <w:rsid w:val="004E2DD8"/>
    <w:rsid w:val="004E3E72"/>
    <w:rsid w:val="004E53CA"/>
    <w:rsid w:val="004E72B8"/>
    <w:rsid w:val="004E7811"/>
    <w:rsid w:val="004F1457"/>
    <w:rsid w:val="004F15E6"/>
    <w:rsid w:val="004F3320"/>
    <w:rsid w:val="004F3D65"/>
    <w:rsid w:val="004F4380"/>
    <w:rsid w:val="004F62EA"/>
    <w:rsid w:val="00500EF0"/>
    <w:rsid w:val="0050366F"/>
    <w:rsid w:val="00506FD5"/>
    <w:rsid w:val="00512AAC"/>
    <w:rsid w:val="0051394F"/>
    <w:rsid w:val="00513D3D"/>
    <w:rsid w:val="005144CD"/>
    <w:rsid w:val="005216CD"/>
    <w:rsid w:val="00521FE9"/>
    <w:rsid w:val="00523744"/>
    <w:rsid w:val="00523AE2"/>
    <w:rsid w:val="00524F43"/>
    <w:rsid w:val="005263A5"/>
    <w:rsid w:val="00534CC0"/>
    <w:rsid w:val="0053747B"/>
    <w:rsid w:val="005378D2"/>
    <w:rsid w:val="00537922"/>
    <w:rsid w:val="00542197"/>
    <w:rsid w:val="0054600D"/>
    <w:rsid w:val="005474AF"/>
    <w:rsid w:val="00547930"/>
    <w:rsid w:val="00550F3B"/>
    <w:rsid w:val="00552C57"/>
    <w:rsid w:val="005549E0"/>
    <w:rsid w:val="00556401"/>
    <w:rsid w:val="00557A97"/>
    <w:rsid w:val="005627FE"/>
    <w:rsid w:val="00564CB0"/>
    <w:rsid w:val="00565F35"/>
    <w:rsid w:val="00566B38"/>
    <w:rsid w:val="00575727"/>
    <w:rsid w:val="005821C2"/>
    <w:rsid w:val="00582ECE"/>
    <w:rsid w:val="00586C55"/>
    <w:rsid w:val="00587A8D"/>
    <w:rsid w:val="00590488"/>
    <w:rsid w:val="0059060B"/>
    <w:rsid w:val="00590DA8"/>
    <w:rsid w:val="00591554"/>
    <w:rsid w:val="00593D28"/>
    <w:rsid w:val="00594907"/>
    <w:rsid w:val="00594EFC"/>
    <w:rsid w:val="005968A7"/>
    <w:rsid w:val="005A057E"/>
    <w:rsid w:val="005A0B56"/>
    <w:rsid w:val="005A3BE3"/>
    <w:rsid w:val="005A4BF1"/>
    <w:rsid w:val="005B0303"/>
    <w:rsid w:val="005B0426"/>
    <w:rsid w:val="005B2C67"/>
    <w:rsid w:val="005B3F60"/>
    <w:rsid w:val="005B5506"/>
    <w:rsid w:val="005B7D86"/>
    <w:rsid w:val="005C04A2"/>
    <w:rsid w:val="005C3B26"/>
    <w:rsid w:val="005C482C"/>
    <w:rsid w:val="005C51C8"/>
    <w:rsid w:val="005C5818"/>
    <w:rsid w:val="005C58D0"/>
    <w:rsid w:val="005C6542"/>
    <w:rsid w:val="005D0F82"/>
    <w:rsid w:val="005D1849"/>
    <w:rsid w:val="005D2687"/>
    <w:rsid w:val="005D3377"/>
    <w:rsid w:val="005D3AF6"/>
    <w:rsid w:val="005D752D"/>
    <w:rsid w:val="005E6958"/>
    <w:rsid w:val="005F0F9C"/>
    <w:rsid w:val="005F524A"/>
    <w:rsid w:val="005F784C"/>
    <w:rsid w:val="00601A72"/>
    <w:rsid w:val="006066E7"/>
    <w:rsid w:val="00607882"/>
    <w:rsid w:val="00616331"/>
    <w:rsid w:val="00630E40"/>
    <w:rsid w:val="00631464"/>
    <w:rsid w:val="00632585"/>
    <w:rsid w:val="0063618A"/>
    <w:rsid w:val="006424FE"/>
    <w:rsid w:val="00643C4B"/>
    <w:rsid w:val="00645958"/>
    <w:rsid w:val="0064607A"/>
    <w:rsid w:val="006517A1"/>
    <w:rsid w:val="00651A35"/>
    <w:rsid w:val="00652243"/>
    <w:rsid w:val="00652A8A"/>
    <w:rsid w:val="0065513C"/>
    <w:rsid w:val="00655817"/>
    <w:rsid w:val="006559D7"/>
    <w:rsid w:val="00655D33"/>
    <w:rsid w:val="00656913"/>
    <w:rsid w:val="00657686"/>
    <w:rsid w:val="006602FD"/>
    <w:rsid w:val="006606A2"/>
    <w:rsid w:val="00663EC7"/>
    <w:rsid w:val="00664FC7"/>
    <w:rsid w:val="00665DA8"/>
    <w:rsid w:val="00670B71"/>
    <w:rsid w:val="00674F88"/>
    <w:rsid w:val="00677DC6"/>
    <w:rsid w:val="006836F8"/>
    <w:rsid w:val="006836FD"/>
    <w:rsid w:val="006844AC"/>
    <w:rsid w:val="006953E2"/>
    <w:rsid w:val="006A0A4B"/>
    <w:rsid w:val="006A1CCE"/>
    <w:rsid w:val="006A62ED"/>
    <w:rsid w:val="006A7F8A"/>
    <w:rsid w:val="006B3F2D"/>
    <w:rsid w:val="006B4348"/>
    <w:rsid w:val="006B62CB"/>
    <w:rsid w:val="006C159F"/>
    <w:rsid w:val="006C6FBA"/>
    <w:rsid w:val="006C75D6"/>
    <w:rsid w:val="006C77EF"/>
    <w:rsid w:val="006D07C1"/>
    <w:rsid w:val="006D0DA4"/>
    <w:rsid w:val="006D2378"/>
    <w:rsid w:val="006D2C75"/>
    <w:rsid w:val="006D2D58"/>
    <w:rsid w:val="006D3B87"/>
    <w:rsid w:val="006D5BBE"/>
    <w:rsid w:val="006E0C19"/>
    <w:rsid w:val="006E226E"/>
    <w:rsid w:val="006E4F4A"/>
    <w:rsid w:val="006E64AE"/>
    <w:rsid w:val="006F1E86"/>
    <w:rsid w:val="006F38A1"/>
    <w:rsid w:val="006F3FC2"/>
    <w:rsid w:val="006F564B"/>
    <w:rsid w:val="007013C7"/>
    <w:rsid w:val="00703169"/>
    <w:rsid w:val="00705FD8"/>
    <w:rsid w:val="00706614"/>
    <w:rsid w:val="0070662B"/>
    <w:rsid w:val="00707239"/>
    <w:rsid w:val="007078DA"/>
    <w:rsid w:val="00712BD6"/>
    <w:rsid w:val="00712DA9"/>
    <w:rsid w:val="0071342E"/>
    <w:rsid w:val="00715581"/>
    <w:rsid w:val="00716F1F"/>
    <w:rsid w:val="00717EE2"/>
    <w:rsid w:val="00727085"/>
    <w:rsid w:val="007271A7"/>
    <w:rsid w:val="00734796"/>
    <w:rsid w:val="007360BB"/>
    <w:rsid w:val="00736B35"/>
    <w:rsid w:val="00740586"/>
    <w:rsid w:val="0074256D"/>
    <w:rsid w:val="007441A7"/>
    <w:rsid w:val="00746850"/>
    <w:rsid w:val="00747BE6"/>
    <w:rsid w:val="007511EA"/>
    <w:rsid w:val="00752526"/>
    <w:rsid w:val="0075431C"/>
    <w:rsid w:val="00754819"/>
    <w:rsid w:val="00754AA3"/>
    <w:rsid w:val="00754EA2"/>
    <w:rsid w:val="00762FA8"/>
    <w:rsid w:val="007647A1"/>
    <w:rsid w:val="00765089"/>
    <w:rsid w:val="007707C3"/>
    <w:rsid w:val="0077118E"/>
    <w:rsid w:val="007717AA"/>
    <w:rsid w:val="00774A6E"/>
    <w:rsid w:val="007809C2"/>
    <w:rsid w:val="00780C12"/>
    <w:rsid w:val="00781C5D"/>
    <w:rsid w:val="00781F6B"/>
    <w:rsid w:val="00782428"/>
    <w:rsid w:val="00782F5F"/>
    <w:rsid w:val="007832C0"/>
    <w:rsid w:val="00785024"/>
    <w:rsid w:val="007854F2"/>
    <w:rsid w:val="00790FB5"/>
    <w:rsid w:val="00794C20"/>
    <w:rsid w:val="00797F4A"/>
    <w:rsid w:val="007A23FD"/>
    <w:rsid w:val="007B0965"/>
    <w:rsid w:val="007B3EF7"/>
    <w:rsid w:val="007B6E19"/>
    <w:rsid w:val="007B7AC9"/>
    <w:rsid w:val="007B7DC1"/>
    <w:rsid w:val="007C3842"/>
    <w:rsid w:val="007C4CF5"/>
    <w:rsid w:val="007C7BE7"/>
    <w:rsid w:val="007D0973"/>
    <w:rsid w:val="007D1F29"/>
    <w:rsid w:val="007D45FF"/>
    <w:rsid w:val="007D4798"/>
    <w:rsid w:val="007D5123"/>
    <w:rsid w:val="007D650E"/>
    <w:rsid w:val="007D7410"/>
    <w:rsid w:val="007E2DCB"/>
    <w:rsid w:val="007E3F91"/>
    <w:rsid w:val="007E6339"/>
    <w:rsid w:val="007F044C"/>
    <w:rsid w:val="007F1AE0"/>
    <w:rsid w:val="007F20A0"/>
    <w:rsid w:val="007F6FBD"/>
    <w:rsid w:val="00803707"/>
    <w:rsid w:val="008048D1"/>
    <w:rsid w:val="00804AAC"/>
    <w:rsid w:val="008050F9"/>
    <w:rsid w:val="008061A8"/>
    <w:rsid w:val="00815602"/>
    <w:rsid w:val="0082795C"/>
    <w:rsid w:val="00833206"/>
    <w:rsid w:val="00835147"/>
    <w:rsid w:val="00835366"/>
    <w:rsid w:val="008431C9"/>
    <w:rsid w:val="00847DAC"/>
    <w:rsid w:val="008529C0"/>
    <w:rsid w:val="008551AF"/>
    <w:rsid w:val="008560EA"/>
    <w:rsid w:val="00857C08"/>
    <w:rsid w:val="00860609"/>
    <w:rsid w:val="00863CBC"/>
    <w:rsid w:val="0086782C"/>
    <w:rsid w:val="0087196C"/>
    <w:rsid w:val="00872F18"/>
    <w:rsid w:val="00875109"/>
    <w:rsid w:val="00877BC4"/>
    <w:rsid w:val="00884630"/>
    <w:rsid w:val="00884856"/>
    <w:rsid w:val="0088567B"/>
    <w:rsid w:val="0088586B"/>
    <w:rsid w:val="00887D8E"/>
    <w:rsid w:val="008950F3"/>
    <w:rsid w:val="008A1FCB"/>
    <w:rsid w:val="008A20E0"/>
    <w:rsid w:val="008A2DD7"/>
    <w:rsid w:val="008A3DA7"/>
    <w:rsid w:val="008B14F8"/>
    <w:rsid w:val="008B4D07"/>
    <w:rsid w:val="008B5F92"/>
    <w:rsid w:val="008C2414"/>
    <w:rsid w:val="008C2A34"/>
    <w:rsid w:val="008C6257"/>
    <w:rsid w:val="008C6D9A"/>
    <w:rsid w:val="008D1F07"/>
    <w:rsid w:val="008D5A83"/>
    <w:rsid w:val="008E0668"/>
    <w:rsid w:val="008E22B8"/>
    <w:rsid w:val="008E2A94"/>
    <w:rsid w:val="008E4FAB"/>
    <w:rsid w:val="008E6A43"/>
    <w:rsid w:val="008E794B"/>
    <w:rsid w:val="008F303D"/>
    <w:rsid w:val="008F5F3B"/>
    <w:rsid w:val="008F6AB9"/>
    <w:rsid w:val="009036BB"/>
    <w:rsid w:val="00907B51"/>
    <w:rsid w:val="00910996"/>
    <w:rsid w:val="0091281F"/>
    <w:rsid w:val="00912B84"/>
    <w:rsid w:val="0091402B"/>
    <w:rsid w:val="00914459"/>
    <w:rsid w:val="00914686"/>
    <w:rsid w:val="00914F3A"/>
    <w:rsid w:val="00915FE0"/>
    <w:rsid w:val="00916A94"/>
    <w:rsid w:val="00916C57"/>
    <w:rsid w:val="00920635"/>
    <w:rsid w:val="00921A50"/>
    <w:rsid w:val="00922FB4"/>
    <w:rsid w:val="00924A71"/>
    <w:rsid w:val="0092552A"/>
    <w:rsid w:val="00932452"/>
    <w:rsid w:val="0093552F"/>
    <w:rsid w:val="00940244"/>
    <w:rsid w:val="009417E1"/>
    <w:rsid w:val="009432CE"/>
    <w:rsid w:val="00946A13"/>
    <w:rsid w:val="00950854"/>
    <w:rsid w:val="0095256F"/>
    <w:rsid w:val="009537F3"/>
    <w:rsid w:val="0095759E"/>
    <w:rsid w:val="00962E24"/>
    <w:rsid w:val="00965655"/>
    <w:rsid w:val="00967F48"/>
    <w:rsid w:val="00972D57"/>
    <w:rsid w:val="009744CE"/>
    <w:rsid w:val="00985121"/>
    <w:rsid w:val="00985E0D"/>
    <w:rsid w:val="00986665"/>
    <w:rsid w:val="00987C83"/>
    <w:rsid w:val="00993519"/>
    <w:rsid w:val="00995429"/>
    <w:rsid w:val="009A1656"/>
    <w:rsid w:val="009A2BCC"/>
    <w:rsid w:val="009A3818"/>
    <w:rsid w:val="009B1F7A"/>
    <w:rsid w:val="009B201F"/>
    <w:rsid w:val="009B2392"/>
    <w:rsid w:val="009B3A0A"/>
    <w:rsid w:val="009B5332"/>
    <w:rsid w:val="009C5137"/>
    <w:rsid w:val="009C65D4"/>
    <w:rsid w:val="009D080A"/>
    <w:rsid w:val="009D2764"/>
    <w:rsid w:val="009D4D4A"/>
    <w:rsid w:val="009D4F52"/>
    <w:rsid w:val="009D5823"/>
    <w:rsid w:val="009D5AD6"/>
    <w:rsid w:val="009D5F37"/>
    <w:rsid w:val="009D6FAD"/>
    <w:rsid w:val="009D77DE"/>
    <w:rsid w:val="009E0FDA"/>
    <w:rsid w:val="009E14F1"/>
    <w:rsid w:val="009E197A"/>
    <w:rsid w:val="009E1E38"/>
    <w:rsid w:val="009E291E"/>
    <w:rsid w:val="009E4E66"/>
    <w:rsid w:val="009E7599"/>
    <w:rsid w:val="009F0783"/>
    <w:rsid w:val="009F0C8C"/>
    <w:rsid w:val="009F3F34"/>
    <w:rsid w:val="009F5348"/>
    <w:rsid w:val="009F6934"/>
    <w:rsid w:val="009F7260"/>
    <w:rsid w:val="009F7D43"/>
    <w:rsid w:val="00A01641"/>
    <w:rsid w:val="00A048EE"/>
    <w:rsid w:val="00A137E6"/>
    <w:rsid w:val="00A14010"/>
    <w:rsid w:val="00A23455"/>
    <w:rsid w:val="00A24331"/>
    <w:rsid w:val="00A2682F"/>
    <w:rsid w:val="00A2738E"/>
    <w:rsid w:val="00A321AE"/>
    <w:rsid w:val="00A34026"/>
    <w:rsid w:val="00A40067"/>
    <w:rsid w:val="00A41CA2"/>
    <w:rsid w:val="00A42DA1"/>
    <w:rsid w:val="00A43912"/>
    <w:rsid w:val="00A462DA"/>
    <w:rsid w:val="00A4785E"/>
    <w:rsid w:val="00A607E8"/>
    <w:rsid w:val="00A60D80"/>
    <w:rsid w:val="00A631CF"/>
    <w:rsid w:val="00A6482E"/>
    <w:rsid w:val="00A64DF5"/>
    <w:rsid w:val="00A66602"/>
    <w:rsid w:val="00A70001"/>
    <w:rsid w:val="00A70B32"/>
    <w:rsid w:val="00A7250B"/>
    <w:rsid w:val="00A732FC"/>
    <w:rsid w:val="00A73C58"/>
    <w:rsid w:val="00A747F1"/>
    <w:rsid w:val="00A77F6F"/>
    <w:rsid w:val="00A80E3D"/>
    <w:rsid w:val="00A90CCC"/>
    <w:rsid w:val="00A9163D"/>
    <w:rsid w:val="00A954D3"/>
    <w:rsid w:val="00AA3DBA"/>
    <w:rsid w:val="00AA5E03"/>
    <w:rsid w:val="00AA799A"/>
    <w:rsid w:val="00AA7CD7"/>
    <w:rsid w:val="00AB02BC"/>
    <w:rsid w:val="00AB71F7"/>
    <w:rsid w:val="00AC0219"/>
    <w:rsid w:val="00AC0D73"/>
    <w:rsid w:val="00AC1B1C"/>
    <w:rsid w:val="00AC2397"/>
    <w:rsid w:val="00AC28D7"/>
    <w:rsid w:val="00AC4EA8"/>
    <w:rsid w:val="00AC5C08"/>
    <w:rsid w:val="00AC68D7"/>
    <w:rsid w:val="00AC7D3F"/>
    <w:rsid w:val="00AD614C"/>
    <w:rsid w:val="00AD70F8"/>
    <w:rsid w:val="00AD71AF"/>
    <w:rsid w:val="00AE025F"/>
    <w:rsid w:val="00AE1BE0"/>
    <w:rsid w:val="00AE6C76"/>
    <w:rsid w:val="00AE71F1"/>
    <w:rsid w:val="00AF030B"/>
    <w:rsid w:val="00AF0609"/>
    <w:rsid w:val="00AF08AF"/>
    <w:rsid w:val="00AF2C1D"/>
    <w:rsid w:val="00AF6B26"/>
    <w:rsid w:val="00AF7EB5"/>
    <w:rsid w:val="00B00B47"/>
    <w:rsid w:val="00B0117B"/>
    <w:rsid w:val="00B02BC9"/>
    <w:rsid w:val="00B03C89"/>
    <w:rsid w:val="00B04302"/>
    <w:rsid w:val="00B04AF1"/>
    <w:rsid w:val="00B062A3"/>
    <w:rsid w:val="00B07ED1"/>
    <w:rsid w:val="00B10FEE"/>
    <w:rsid w:val="00B12B14"/>
    <w:rsid w:val="00B12C07"/>
    <w:rsid w:val="00B13A38"/>
    <w:rsid w:val="00B13FCC"/>
    <w:rsid w:val="00B1415A"/>
    <w:rsid w:val="00B14CA1"/>
    <w:rsid w:val="00B17942"/>
    <w:rsid w:val="00B208BA"/>
    <w:rsid w:val="00B21333"/>
    <w:rsid w:val="00B215FE"/>
    <w:rsid w:val="00B22079"/>
    <w:rsid w:val="00B24BA0"/>
    <w:rsid w:val="00B25F87"/>
    <w:rsid w:val="00B2697A"/>
    <w:rsid w:val="00B307CE"/>
    <w:rsid w:val="00B361BB"/>
    <w:rsid w:val="00B36265"/>
    <w:rsid w:val="00B378BF"/>
    <w:rsid w:val="00B4147E"/>
    <w:rsid w:val="00B425C9"/>
    <w:rsid w:val="00B46677"/>
    <w:rsid w:val="00B4736D"/>
    <w:rsid w:val="00B50C15"/>
    <w:rsid w:val="00B51A82"/>
    <w:rsid w:val="00B545B7"/>
    <w:rsid w:val="00B574DB"/>
    <w:rsid w:val="00B63A34"/>
    <w:rsid w:val="00B64149"/>
    <w:rsid w:val="00B64C36"/>
    <w:rsid w:val="00B64DF9"/>
    <w:rsid w:val="00B749B5"/>
    <w:rsid w:val="00B81905"/>
    <w:rsid w:val="00B862D7"/>
    <w:rsid w:val="00B86E6F"/>
    <w:rsid w:val="00B9055E"/>
    <w:rsid w:val="00B95642"/>
    <w:rsid w:val="00B95C3E"/>
    <w:rsid w:val="00B9666E"/>
    <w:rsid w:val="00BA2C13"/>
    <w:rsid w:val="00BA7DDB"/>
    <w:rsid w:val="00BB1257"/>
    <w:rsid w:val="00BB159F"/>
    <w:rsid w:val="00BB5435"/>
    <w:rsid w:val="00BC3488"/>
    <w:rsid w:val="00BD5489"/>
    <w:rsid w:val="00BE2C1E"/>
    <w:rsid w:val="00BE5359"/>
    <w:rsid w:val="00BF19D2"/>
    <w:rsid w:val="00BF4476"/>
    <w:rsid w:val="00BF4E00"/>
    <w:rsid w:val="00BF7298"/>
    <w:rsid w:val="00BF7695"/>
    <w:rsid w:val="00BF79A8"/>
    <w:rsid w:val="00C00CE1"/>
    <w:rsid w:val="00C01481"/>
    <w:rsid w:val="00C03325"/>
    <w:rsid w:val="00C0351B"/>
    <w:rsid w:val="00C03A4E"/>
    <w:rsid w:val="00C172CB"/>
    <w:rsid w:val="00C211B7"/>
    <w:rsid w:val="00C218FD"/>
    <w:rsid w:val="00C21A9B"/>
    <w:rsid w:val="00C2272F"/>
    <w:rsid w:val="00C2355C"/>
    <w:rsid w:val="00C34EA3"/>
    <w:rsid w:val="00C35A02"/>
    <w:rsid w:val="00C36678"/>
    <w:rsid w:val="00C36904"/>
    <w:rsid w:val="00C372BE"/>
    <w:rsid w:val="00C4186C"/>
    <w:rsid w:val="00C42FBA"/>
    <w:rsid w:val="00C4408D"/>
    <w:rsid w:val="00C443F2"/>
    <w:rsid w:val="00C4640E"/>
    <w:rsid w:val="00C50CBE"/>
    <w:rsid w:val="00C51480"/>
    <w:rsid w:val="00C5225F"/>
    <w:rsid w:val="00C53698"/>
    <w:rsid w:val="00C5482A"/>
    <w:rsid w:val="00C56AA2"/>
    <w:rsid w:val="00C603AE"/>
    <w:rsid w:val="00C62C21"/>
    <w:rsid w:val="00C631DF"/>
    <w:rsid w:val="00C64ADD"/>
    <w:rsid w:val="00C66604"/>
    <w:rsid w:val="00C6692C"/>
    <w:rsid w:val="00C705EB"/>
    <w:rsid w:val="00C72DB3"/>
    <w:rsid w:val="00C73490"/>
    <w:rsid w:val="00C73A7B"/>
    <w:rsid w:val="00C74CFD"/>
    <w:rsid w:val="00C75A0B"/>
    <w:rsid w:val="00C75E98"/>
    <w:rsid w:val="00C851B0"/>
    <w:rsid w:val="00C8584D"/>
    <w:rsid w:val="00C85DE9"/>
    <w:rsid w:val="00C934B4"/>
    <w:rsid w:val="00C94EA0"/>
    <w:rsid w:val="00C96D86"/>
    <w:rsid w:val="00C977E3"/>
    <w:rsid w:val="00CA3EAF"/>
    <w:rsid w:val="00CA4127"/>
    <w:rsid w:val="00CA45CF"/>
    <w:rsid w:val="00CA5E67"/>
    <w:rsid w:val="00CA77D7"/>
    <w:rsid w:val="00CB11AF"/>
    <w:rsid w:val="00CB24FA"/>
    <w:rsid w:val="00CC0229"/>
    <w:rsid w:val="00CC06E0"/>
    <w:rsid w:val="00CC392B"/>
    <w:rsid w:val="00CC6338"/>
    <w:rsid w:val="00CD1FF9"/>
    <w:rsid w:val="00CD3967"/>
    <w:rsid w:val="00CD4700"/>
    <w:rsid w:val="00CD56A0"/>
    <w:rsid w:val="00CD7103"/>
    <w:rsid w:val="00CD7418"/>
    <w:rsid w:val="00CE09AD"/>
    <w:rsid w:val="00CE2E46"/>
    <w:rsid w:val="00CF0A1F"/>
    <w:rsid w:val="00CF5D3D"/>
    <w:rsid w:val="00CF73F9"/>
    <w:rsid w:val="00D052EB"/>
    <w:rsid w:val="00D06261"/>
    <w:rsid w:val="00D06366"/>
    <w:rsid w:val="00D06A8D"/>
    <w:rsid w:val="00D13320"/>
    <w:rsid w:val="00D13F8D"/>
    <w:rsid w:val="00D17B7B"/>
    <w:rsid w:val="00D202D9"/>
    <w:rsid w:val="00D24151"/>
    <w:rsid w:val="00D27A0A"/>
    <w:rsid w:val="00D27CCD"/>
    <w:rsid w:val="00D303DE"/>
    <w:rsid w:val="00D315C1"/>
    <w:rsid w:val="00D31BC4"/>
    <w:rsid w:val="00D33473"/>
    <w:rsid w:val="00D33E0C"/>
    <w:rsid w:val="00D34AB9"/>
    <w:rsid w:val="00D36643"/>
    <w:rsid w:val="00D40363"/>
    <w:rsid w:val="00D44D24"/>
    <w:rsid w:val="00D457B4"/>
    <w:rsid w:val="00D466C4"/>
    <w:rsid w:val="00D47D75"/>
    <w:rsid w:val="00D502B2"/>
    <w:rsid w:val="00D503D0"/>
    <w:rsid w:val="00D50C1C"/>
    <w:rsid w:val="00D522E2"/>
    <w:rsid w:val="00D527A0"/>
    <w:rsid w:val="00D5402E"/>
    <w:rsid w:val="00D64155"/>
    <w:rsid w:val="00D64B67"/>
    <w:rsid w:val="00D7125B"/>
    <w:rsid w:val="00D720AE"/>
    <w:rsid w:val="00D7443D"/>
    <w:rsid w:val="00D800FB"/>
    <w:rsid w:val="00D830E6"/>
    <w:rsid w:val="00D83473"/>
    <w:rsid w:val="00D90EE8"/>
    <w:rsid w:val="00D91C4D"/>
    <w:rsid w:val="00D94972"/>
    <w:rsid w:val="00DA456D"/>
    <w:rsid w:val="00DA4DA6"/>
    <w:rsid w:val="00DA711B"/>
    <w:rsid w:val="00DA7967"/>
    <w:rsid w:val="00DB056A"/>
    <w:rsid w:val="00DB0580"/>
    <w:rsid w:val="00DB06DE"/>
    <w:rsid w:val="00DB5214"/>
    <w:rsid w:val="00DC03F8"/>
    <w:rsid w:val="00DC3305"/>
    <w:rsid w:val="00DC4D73"/>
    <w:rsid w:val="00DC73B5"/>
    <w:rsid w:val="00DD038D"/>
    <w:rsid w:val="00DD2F06"/>
    <w:rsid w:val="00DD45EA"/>
    <w:rsid w:val="00DD4AEC"/>
    <w:rsid w:val="00DD5EB3"/>
    <w:rsid w:val="00DE0F34"/>
    <w:rsid w:val="00DE481C"/>
    <w:rsid w:val="00DE4DB0"/>
    <w:rsid w:val="00DE57A9"/>
    <w:rsid w:val="00DE5A57"/>
    <w:rsid w:val="00DE75D3"/>
    <w:rsid w:val="00DE793C"/>
    <w:rsid w:val="00DF2F44"/>
    <w:rsid w:val="00DF7442"/>
    <w:rsid w:val="00DF75DD"/>
    <w:rsid w:val="00DF7C96"/>
    <w:rsid w:val="00E02E2C"/>
    <w:rsid w:val="00E03014"/>
    <w:rsid w:val="00E03AD9"/>
    <w:rsid w:val="00E03DA2"/>
    <w:rsid w:val="00E049DF"/>
    <w:rsid w:val="00E05B33"/>
    <w:rsid w:val="00E06BA7"/>
    <w:rsid w:val="00E07A94"/>
    <w:rsid w:val="00E104FD"/>
    <w:rsid w:val="00E12284"/>
    <w:rsid w:val="00E1335D"/>
    <w:rsid w:val="00E13440"/>
    <w:rsid w:val="00E24AE6"/>
    <w:rsid w:val="00E24D49"/>
    <w:rsid w:val="00E26665"/>
    <w:rsid w:val="00E27ACC"/>
    <w:rsid w:val="00E31B50"/>
    <w:rsid w:val="00E31C2E"/>
    <w:rsid w:val="00E3365C"/>
    <w:rsid w:val="00E35C52"/>
    <w:rsid w:val="00E4000A"/>
    <w:rsid w:val="00E40798"/>
    <w:rsid w:val="00E47765"/>
    <w:rsid w:val="00E55F46"/>
    <w:rsid w:val="00E606AB"/>
    <w:rsid w:val="00E60834"/>
    <w:rsid w:val="00E61659"/>
    <w:rsid w:val="00E63B88"/>
    <w:rsid w:val="00E66186"/>
    <w:rsid w:val="00E66FBF"/>
    <w:rsid w:val="00E713F1"/>
    <w:rsid w:val="00E7282B"/>
    <w:rsid w:val="00E737D3"/>
    <w:rsid w:val="00E75D81"/>
    <w:rsid w:val="00E83587"/>
    <w:rsid w:val="00E84CD7"/>
    <w:rsid w:val="00E87E79"/>
    <w:rsid w:val="00E904CE"/>
    <w:rsid w:val="00E93423"/>
    <w:rsid w:val="00E97307"/>
    <w:rsid w:val="00E97BF8"/>
    <w:rsid w:val="00EA09C9"/>
    <w:rsid w:val="00EA3538"/>
    <w:rsid w:val="00EA7C33"/>
    <w:rsid w:val="00EA7DEC"/>
    <w:rsid w:val="00EB0684"/>
    <w:rsid w:val="00EB09C7"/>
    <w:rsid w:val="00EB3CE4"/>
    <w:rsid w:val="00EB4C53"/>
    <w:rsid w:val="00EC022A"/>
    <w:rsid w:val="00EC1D76"/>
    <w:rsid w:val="00EC2EE5"/>
    <w:rsid w:val="00EC3623"/>
    <w:rsid w:val="00EC4906"/>
    <w:rsid w:val="00EC6873"/>
    <w:rsid w:val="00EC6962"/>
    <w:rsid w:val="00ED0255"/>
    <w:rsid w:val="00ED0438"/>
    <w:rsid w:val="00ED0765"/>
    <w:rsid w:val="00ED15CA"/>
    <w:rsid w:val="00ED3657"/>
    <w:rsid w:val="00ED40A2"/>
    <w:rsid w:val="00ED7509"/>
    <w:rsid w:val="00ED7935"/>
    <w:rsid w:val="00EE2F4E"/>
    <w:rsid w:val="00EE5F0D"/>
    <w:rsid w:val="00EE60F7"/>
    <w:rsid w:val="00EF28E9"/>
    <w:rsid w:val="00EF7DFB"/>
    <w:rsid w:val="00F02389"/>
    <w:rsid w:val="00F03995"/>
    <w:rsid w:val="00F04502"/>
    <w:rsid w:val="00F0493A"/>
    <w:rsid w:val="00F049E4"/>
    <w:rsid w:val="00F0547E"/>
    <w:rsid w:val="00F10CA6"/>
    <w:rsid w:val="00F10DFA"/>
    <w:rsid w:val="00F12092"/>
    <w:rsid w:val="00F13D70"/>
    <w:rsid w:val="00F17B57"/>
    <w:rsid w:val="00F224E9"/>
    <w:rsid w:val="00F2363E"/>
    <w:rsid w:val="00F26109"/>
    <w:rsid w:val="00F30299"/>
    <w:rsid w:val="00F31488"/>
    <w:rsid w:val="00F32C98"/>
    <w:rsid w:val="00F367DB"/>
    <w:rsid w:val="00F46240"/>
    <w:rsid w:val="00F53E38"/>
    <w:rsid w:val="00F565E8"/>
    <w:rsid w:val="00F575A4"/>
    <w:rsid w:val="00F61DB7"/>
    <w:rsid w:val="00F62476"/>
    <w:rsid w:val="00F6487C"/>
    <w:rsid w:val="00F65923"/>
    <w:rsid w:val="00F66436"/>
    <w:rsid w:val="00F66A8E"/>
    <w:rsid w:val="00F70A41"/>
    <w:rsid w:val="00F71F76"/>
    <w:rsid w:val="00F7219D"/>
    <w:rsid w:val="00F7233E"/>
    <w:rsid w:val="00F777C3"/>
    <w:rsid w:val="00F85DF5"/>
    <w:rsid w:val="00F8672B"/>
    <w:rsid w:val="00F87B6B"/>
    <w:rsid w:val="00F94E37"/>
    <w:rsid w:val="00F95046"/>
    <w:rsid w:val="00F97B70"/>
    <w:rsid w:val="00FA05C4"/>
    <w:rsid w:val="00FA353A"/>
    <w:rsid w:val="00FA3A35"/>
    <w:rsid w:val="00FA5DDD"/>
    <w:rsid w:val="00FB343D"/>
    <w:rsid w:val="00FB3B0F"/>
    <w:rsid w:val="00FB4579"/>
    <w:rsid w:val="00FC0281"/>
    <w:rsid w:val="00FC2E29"/>
    <w:rsid w:val="00FC47E4"/>
    <w:rsid w:val="00FC56DF"/>
    <w:rsid w:val="00FC5FC4"/>
    <w:rsid w:val="00FD4A5D"/>
    <w:rsid w:val="00FD4F95"/>
    <w:rsid w:val="00FD534A"/>
    <w:rsid w:val="00FD7C36"/>
    <w:rsid w:val="00FD7FF4"/>
    <w:rsid w:val="00FE469A"/>
    <w:rsid w:val="00FE778D"/>
    <w:rsid w:val="00FF0E8B"/>
    <w:rsid w:val="00FF19BB"/>
    <w:rsid w:val="00FF341C"/>
    <w:rsid w:val="00FF3B16"/>
    <w:rsid w:val="00FF4AE3"/>
    <w:rsid w:val="00FF6EA2"/>
    <w:rsid w:val="00FF7F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E8056B-73BD-4DA6-B55C-3E273BAC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SimSun" w:hAnsi="Palatino Linotype"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73"/>
    <w:pPr>
      <w:spacing w:after="120"/>
    </w:pPr>
    <w:rPr>
      <w:rFonts w:ascii="Arial" w:eastAsia="Meiryo" w:hAnsi="Arial" w:cs="Arial"/>
      <w:bCs/>
      <w:sz w:val="19"/>
      <w:lang w:eastAsia="en-US"/>
    </w:rPr>
  </w:style>
  <w:style w:type="paragraph" w:styleId="Heading2">
    <w:name w:val="heading 2"/>
    <w:basedOn w:val="Normal"/>
    <w:next w:val="Normal"/>
    <w:link w:val="Heading2Char"/>
    <w:uiPriority w:val="9"/>
    <w:semiHidden/>
    <w:unhideWhenUsed/>
    <w:qFormat/>
    <w:rsid w:val="000C4E1F"/>
    <w:pPr>
      <w:keepNext/>
      <w:keepLines/>
      <w:spacing w:before="200" w:after="0"/>
      <w:outlineLvl w:val="1"/>
    </w:pPr>
    <w:rPr>
      <w:rFonts w:ascii="Palatino Linotype" w:eastAsia="SimSun" w:hAnsi="Palatino Linotype" w:cs="Times New Roman"/>
      <w:b/>
      <w:bCs w:val="0"/>
      <w:color w:val="3891A7"/>
      <w:sz w:val="26"/>
      <w:szCs w:val="26"/>
    </w:rPr>
  </w:style>
  <w:style w:type="paragraph" w:styleId="Heading3">
    <w:name w:val="heading 3"/>
    <w:basedOn w:val="Heading2"/>
    <w:next w:val="Normal"/>
    <w:link w:val="Heading3Char"/>
    <w:autoRedefine/>
    <w:rsid w:val="00A9163D"/>
    <w:pPr>
      <w:keepLines w:val="0"/>
      <w:tabs>
        <w:tab w:val="center" w:pos="4320"/>
        <w:tab w:val="right" w:pos="8640"/>
      </w:tabs>
      <w:spacing w:before="120" w:after="120"/>
      <w:ind w:right="170"/>
      <w:jc w:val="both"/>
      <w:outlineLvl w:val="2"/>
    </w:pPr>
    <w:rPr>
      <w:rFonts w:ascii="Arial" w:eastAsia="Times New Roman" w:hAnsi="Arial" w:cs="Arial"/>
      <w:bCs/>
      <w:color w:val="000000"/>
      <w:sz w:val="20"/>
      <w:szCs w:val="20"/>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1A7"/>
    <w:pPr>
      <w:tabs>
        <w:tab w:val="center" w:pos="4513"/>
        <w:tab w:val="right" w:pos="9026"/>
      </w:tabs>
      <w:spacing w:after="0"/>
    </w:pPr>
  </w:style>
  <w:style w:type="character" w:customStyle="1" w:styleId="HeaderChar">
    <w:name w:val="Header Char"/>
    <w:link w:val="Header"/>
    <w:rsid w:val="007271A7"/>
    <w:rPr>
      <w:rFonts w:ascii="Arial" w:hAnsi="Arial"/>
      <w:sz w:val="22"/>
      <w:szCs w:val="22"/>
      <w:lang w:eastAsia="zh-CN"/>
    </w:rPr>
  </w:style>
  <w:style w:type="paragraph" w:styleId="Footer">
    <w:name w:val="footer"/>
    <w:link w:val="FooterChar"/>
    <w:uiPriority w:val="99"/>
    <w:unhideWhenUsed/>
    <w:rsid w:val="00674F88"/>
    <w:pPr>
      <w:pBdr>
        <w:top w:val="single" w:sz="12" w:space="6" w:color="295CAB"/>
      </w:pBdr>
      <w:tabs>
        <w:tab w:val="center" w:pos="4513"/>
        <w:tab w:val="right" w:pos="9026"/>
      </w:tabs>
    </w:pPr>
    <w:rPr>
      <w:rFonts w:ascii="Arial" w:hAnsi="Arial"/>
      <w:sz w:val="18"/>
      <w:szCs w:val="22"/>
      <w:lang w:eastAsia="zh-CN"/>
    </w:rPr>
  </w:style>
  <w:style w:type="character" w:customStyle="1" w:styleId="FooterChar">
    <w:name w:val="Footer Char"/>
    <w:link w:val="Footer"/>
    <w:uiPriority w:val="99"/>
    <w:rsid w:val="00674F88"/>
    <w:rPr>
      <w:rFonts w:ascii="Arial" w:hAnsi="Arial"/>
      <w:sz w:val="18"/>
      <w:szCs w:val="22"/>
      <w:lang w:eastAsia="zh-CN"/>
    </w:rPr>
  </w:style>
  <w:style w:type="paragraph" w:styleId="BalloonText">
    <w:name w:val="Balloon Text"/>
    <w:basedOn w:val="Normal"/>
    <w:link w:val="BalloonTextChar"/>
    <w:uiPriority w:val="99"/>
    <w:semiHidden/>
    <w:unhideWhenUsed/>
    <w:rsid w:val="00C35A02"/>
    <w:pPr>
      <w:spacing w:after="0"/>
    </w:pPr>
    <w:rPr>
      <w:rFonts w:ascii="Tahoma" w:hAnsi="Tahoma" w:cs="Tahoma"/>
      <w:sz w:val="16"/>
      <w:szCs w:val="16"/>
    </w:rPr>
  </w:style>
  <w:style w:type="character" w:customStyle="1" w:styleId="BalloonTextChar">
    <w:name w:val="Balloon Text Char"/>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lang w:eastAsia="zh-CN"/>
    </w:rPr>
  </w:style>
  <w:style w:type="character" w:styleId="Hyperlink">
    <w:name w:val="Hyperlink"/>
    <w:rsid w:val="004D2AE0"/>
    <w:rPr>
      <w:rFonts w:ascii="Arial" w:hAnsi="Arial"/>
      <w:color w:val="0000FF"/>
      <w:sz w:val="19"/>
      <w:u w:val="single"/>
    </w:rPr>
  </w:style>
  <w:style w:type="table" w:styleId="TableGrid">
    <w:name w:val="Table Grid"/>
    <w:basedOn w:val="TableNormal"/>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rPr>
      <w:b/>
      <w:bCs w:val="0"/>
      <w:color w:val="3891A7"/>
      <w:sz w:val="18"/>
      <w:szCs w:val="18"/>
    </w:rPr>
  </w:style>
  <w:style w:type="character" w:customStyle="1" w:styleId="Heading3Char">
    <w:name w:val="Heading 3 Char"/>
    <w:link w:val="Heading3"/>
    <w:rsid w:val="00A9163D"/>
    <w:rPr>
      <w:rFonts w:ascii="Arial" w:eastAsia="Times New Roman" w:hAnsi="Arial" w:cs="Arial"/>
      <w:b/>
      <w:color w:val="000000"/>
      <w:u w:color="FF0000"/>
      <w:lang w:eastAsia="en-US"/>
    </w:rPr>
  </w:style>
  <w:style w:type="character" w:customStyle="1" w:styleId="Heading2Char">
    <w:name w:val="Heading 2 Char"/>
    <w:link w:val="Heading2"/>
    <w:uiPriority w:val="9"/>
    <w:semiHidden/>
    <w:rsid w:val="000C4E1F"/>
    <w:rPr>
      <w:rFonts w:ascii="Palatino Linotype" w:eastAsia="SimSun" w:hAnsi="Palatino Linotype" w:cs="Times New Roman"/>
      <w:b/>
      <w:bCs/>
      <w:color w:val="3891A7"/>
      <w:sz w:val="26"/>
      <w:szCs w:val="26"/>
    </w:rPr>
  </w:style>
  <w:style w:type="character" w:styleId="PlaceholderText">
    <w:name w:val="Placeholder Tex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ind w:left="720" w:right="170"/>
      <w:outlineLvl w:val="2"/>
    </w:pPr>
    <w:rPr>
      <w:rFonts w:eastAsia="Times New Roman"/>
      <w:color w:val="000000"/>
      <w:sz w:val="16"/>
      <w:szCs w:val="16"/>
      <w:u w:color="FF0000"/>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left w:val="single" w:sz="8" w:space="0" w:color="6A7EB4"/>
        <w:bottom w:val="single" w:sz="8" w:space="0" w:color="6A7EB4"/>
        <w:right w:val="single" w:sz="8" w:space="0" w:color="6A7EB4"/>
        <w:insideH w:val="single" w:sz="8" w:space="0" w:color="6A7EB4"/>
      </w:tblBorders>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MediumList2-Accent6">
    <w:name w:val="Medium List 2 Accent 6"/>
    <w:basedOn w:val="TableNormal"/>
    <w:uiPriority w:val="66"/>
    <w:rsid w:val="00092426"/>
    <w:rPr>
      <w:color w:val="000000"/>
    </w:rPr>
    <w:tblPr>
      <w:tblStyleRowBandSize w:val="1"/>
      <w:tblStyleColBandSize w:val="1"/>
      <w:tblBorders>
        <w:top w:val="single" w:sz="8" w:space="0" w:color="475A8D"/>
        <w:left w:val="single" w:sz="8" w:space="0" w:color="475A8D"/>
        <w:bottom w:val="single" w:sz="8" w:space="0" w:color="475A8D"/>
        <w:right w:val="single" w:sz="8" w:space="0" w:color="475A8D"/>
      </w:tblBorders>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rPr>
    <w:tblPr>
      <w:tblStyleRowBandSize w:val="1"/>
      <w:tblStyleColBandSize w:val="1"/>
    </w:tblPr>
    <w:tcPr>
      <w:shd w:val="clear" w:color="auto" w:fill="FEEBDD"/>
      <w:vAlign w:val="center"/>
    </w:tcPr>
    <w:tblStylePr w:type="firstRow">
      <w:rPr>
        <w:b/>
        <w:bCs/>
        <w:color w:val="FFFFFF"/>
      </w:rPr>
      <w:tblPr/>
      <w:tcPr>
        <w:tcBorders>
          <w:bottom w:val="single" w:sz="12" w:space="0" w:color="FFFFFF"/>
        </w:tcBorders>
        <w:shd w:val="clear" w:color="auto" w:fill="384770"/>
      </w:tcPr>
    </w:tblStylePr>
    <w:tblStylePr w:type="lastRow">
      <w:rPr>
        <w:b w:val="0"/>
        <w:bCs/>
        <w:color w:val="auto"/>
      </w:rPr>
      <w:tblPr/>
      <w:tcPr>
        <w:shd w:val="clear" w:color="auto" w:fill="D7DCEB"/>
      </w:tcPr>
    </w:tblStylePr>
    <w:tblStylePr w:type="firstCol">
      <w:rPr>
        <w:b w:val="0"/>
        <w:bCs/>
      </w:rPr>
      <w:tblPr/>
      <w:tcPr>
        <w:shd w:val="clear" w:color="auto" w:fill="AFBAD7"/>
      </w:tcPr>
    </w:tblStylePr>
    <w:tblStylePr w:type="lastCol">
      <w:rPr>
        <w:b w:val="0"/>
        <w:bCs/>
      </w:rPr>
      <w:tblPr/>
      <w:tcPr>
        <w:shd w:val="clear" w:color="auto" w:fill="FFFFFF"/>
      </w:tcPr>
    </w:tblStylePr>
    <w:tblStylePr w:type="band2Vert">
      <w:tblPr/>
      <w:tcPr>
        <w:shd w:val="clear" w:color="auto" w:fill="FFFFFF"/>
      </w:tcPr>
    </w:tblStylePr>
    <w:tblStylePr w:type="band1Horz">
      <w:tblPr/>
      <w:tcPr>
        <w:shd w:val="clear" w:color="auto" w:fill="AFBAD7"/>
      </w:tcPr>
    </w:tblStylePr>
    <w:tblStylePr w:type="band2Horz">
      <w:tblPr/>
      <w:tcPr>
        <w:shd w:val="clear" w:color="auto" w:fill="D7DCEB"/>
      </w:tcPr>
    </w:tblStylePr>
    <w:tblStylePr w:type="seCell">
      <w:tblPr/>
      <w:tcPr>
        <w:shd w:val="clear" w:color="auto" w:fill="FFFFFF"/>
      </w:tcPr>
    </w:tblStylePr>
  </w:style>
  <w:style w:type="paragraph" w:styleId="ListParagraph">
    <w:name w:val="List Paragraph"/>
    <w:basedOn w:val="Normal"/>
    <w:uiPriority w:val="34"/>
    <w:qFormat/>
    <w:rsid w:val="00C851B0"/>
    <w:pPr>
      <w:ind w:left="720"/>
      <w:contextualSpacing/>
    </w:pPr>
  </w:style>
  <w:style w:type="character" w:styleId="CommentReference">
    <w:name w:val="annotation reference"/>
    <w:uiPriority w:val="99"/>
    <w:semiHidden/>
    <w:unhideWhenUsed/>
    <w:rsid w:val="00E63B88"/>
    <w:rPr>
      <w:sz w:val="16"/>
      <w:szCs w:val="16"/>
    </w:rPr>
  </w:style>
  <w:style w:type="paragraph" w:styleId="CommentText">
    <w:name w:val="annotation text"/>
    <w:basedOn w:val="Normal"/>
    <w:link w:val="CommentTextChar"/>
    <w:uiPriority w:val="99"/>
    <w:unhideWhenUsed/>
    <w:rsid w:val="009D5F37"/>
    <w:rPr>
      <w:rFonts w:ascii="Calibri" w:hAnsi="Calibri"/>
      <w:color w:val="009999"/>
      <w:sz w:val="20"/>
    </w:rPr>
  </w:style>
  <w:style w:type="character" w:customStyle="1" w:styleId="CommentTextChar">
    <w:name w:val="Comment Text Char"/>
    <w:link w:val="CommentText"/>
    <w:uiPriority w:val="99"/>
    <w:rsid w:val="009D5F37"/>
    <w:rPr>
      <w:rFonts w:ascii="Calibri" w:hAnsi="Calibri"/>
      <w:color w:val="009999"/>
      <w:lang w:eastAsia="zh-CN"/>
    </w:rPr>
  </w:style>
  <w:style w:type="paragraph" w:styleId="CommentSubject">
    <w:name w:val="annotation subject"/>
    <w:basedOn w:val="CommentText"/>
    <w:next w:val="CommentText"/>
    <w:link w:val="CommentSubjectChar"/>
    <w:uiPriority w:val="99"/>
    <w:semiHidden/>
    <w:unhideWhenUsed/>
    <w:rsid w:val="00E63B88"/>
    <w:rPr>
      <w:b/>
      <w:bCs w:val="0"/>
    </w:rPr>
  </w:style>
  <w:style w:type="character" w:customStyle="1" w:styleId="CommentSubjectChar">
    <w:name w:val="Comment Subject 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pPr>
    <w:rPr>
      <w:rFonts w:ascii="Calibri" w:hAnsi="Calibri"/>
    </w:rPr>
  </w:style>
  <w:style w:type="character" w:customStyle="1" w:styleId="PlainTextChar">
    <w:name w:val="Plain Text Char"/>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lang w:eastAsia="zh-CN"/>
    </w:rPr>
  </w:style>
  <w:style w:type="character" w:styleId="FollowedHyperlink">
    <w:name w:val="FollowedHyperlink"/>
    <w:uiPriority w:val="99"/>
    <w:semiHidden/>
    <w:unhideWhenUsed/>
    <w:rsid w:val="009E0FDA"/>
    <w:rPr>
      <w:color w:val="AA8A14"/>
      <w:u w:val="single"/>
    </w:rPr>
  </w:style>
  <w:style w:type="paragraph" w:styleId="EndnoteText">
    <w:name w:val="endnote text"/>
    <w:basedOn w:val="Normal"/>
    <w:link w:val="EndnoteTextChar"/>
    <w:uiPriority w:val="99"/>
    <w:semiHidden/>
    <w:unhideWhenUsed/>
    <w:rsid w:val="001E432E"/>
    <w:rPr>
      <w:sz w:val="20"/>
    </w:rPr>
  </w:style>
  <w:style w:type="character" w:customStyle="1" w:styleId="EndnoteTextChar">
    <w:name w:val="Endnote Text Char"/>
    <w:link w:val="EndnoteText"/>
    <w:uiPriority w:val="99"/>
    <w:semiHidden/>
    <w:rsid w:val="001E432E"/>
    <w:rPr>
      <w:lang w:eastAsia="zh-CN"/>
    </w:rPr>
  </w:style>
  <w:style w:type="character" w:styleId="EndnoteReference">
    <w:name w:val="endnote reference"/>
    <w:uiPriority w:val="99"/>
    <w:semiHidden/>
    <w:unhideWhenUsed/>
    <w:rsid w:val="001E432E"/>
    <w:rPr>
      <w:vertAlign w:val="superscript"/>
    </w:rPr>
  </w:style>
  <w:style w:type="paragraph" w:customStyle="1" w:styleId="Heading1-AR">
    <w:name w:val="Heading 1 - AR"/>
    <w:qFormat/>
    <w:rsid w:val="0063618A"/>
    <w:pPr>
      <w:spacing w:before="140" w:after="120"/>
    </w:pPr>
    <w:rPr>
      <w:rFonts w:ascii="Arial" w:eastAsia="Meiryo" w:hAnsi="Arial" w:cs="Arial"/>
      <w:color w:val="FFFFFF"/>
      <w:sz w:val="32"/>
      <w:szCs w:val="36"/>
      <w:lang w:eastAsia="zh-CN"/>
    </w:rPr>
  </w:style>
  <w:style w:type="paragraph" w:customStyle="1" w:styleId="Heading12-AR">
    <w:name w:val="Heading 1.2 - AR"/>
    <w:basedOn w:val="Heading1-AR"/>
    <w:qFormat/>
    <w:rsid w:val="00371E3A"/>
    <w:rPr>
      <w:sz w:val="12"/>
      <w:szCs w:val="12"/>
    </w:rPr>
  </w:style>
  <w:style w:type="paragraph" w:customStyle="1" w:styleId="Heading2-AR">
    <w:name w:val="Heading 2 - AR"/>
    <w:qFormat/>
    <w:rsid w:val="005549E0"/>
    <w:pPr>
      <w:keepNext/>
      <w:shd w:val="clear" w:color="auto" w:fill="EAEAEA"/>
      <w:spacing w:after="240"/>
    </w:pPr>
    <w:rPr>
      <w:rFonts w:ascii="Arial" w:eastAsia="Meiryo" w:hAnsi="Arial" w:cs="Arial"/>
      <w:b/>
      <w:sz w:val="28"/>
      <w:szCs w:val="28"/>
      <w:lang w:eastAsia="zh-CN"/>
    </w:rPr>
  </w:style>
  <w:style w:type="paragraph" w:customStyle="1" w:styleId="Heading3-AR">
    <w:name w:val="Heading 3 - AR"/>
    <w:qFormat/>
    <w:rsid w:val="005549E0"/>
    <w:pPr>
      <w:keepNext/>
      <w:autoSpaceDE w:val="0"/>
      <w:autoSpaceDN w:val="0"/>
      <w:adjustRightInd w:val="0"/>
      <w:spacing w:after="120"/>
      <w:jc w:val="both"/>
    </w:pPr>
    <w:rPr>
      <w:rFonts w:ascii="Arial" w:eastAsia="Meiryo" w:hAnsi="Arial" w:cs="Arial"/>
      <w:b/>
      <w:color w:val="000000"/>
      <w:sz w:val="24"/>
      <w:lang w:eastAsia="zh-CN"/>
    </w:rPr>
  </w:style>
  <w:style w:type="paragraph" w:customStyle="1" w:styleId="Body-Instructions-Text">
    <w:name w:val="Body - Instructions - Text"/>
    <w:qFormat/>
    <w:rsid w:val="00790FB5"/>
    <w:pPr>
      <w:tabs>
        <w:tab w:val="center" w:pos="4037"/>
        <w:tab w:val="right" w:pos="5856"/>
        <w:tab w:val="left" w:pos="7675"/>
      </w:tabs>
      <w:spacing w:after="120"/>
      <w:ind w:right="170"/>
      <w:outlineLvl w:val="2"/>
    </w:pPr>
    <w:rPr>
      <w:rFonts w:ascii="Arial" w:hAnsi="Arial" w:cs="Arial"/>
      <w:color w:val="FF0000"/>
      <w:sz w:val="19"/>
      <w:szCs w:val="16"/>
      <w:lang w:eastAsia="zh-CN"/>
    </w:rPr>
  </w:style>
  <w:style w:type="paragraph" w:customStyle="1" w:styleId="Body-Text">
    <w:name w:val="Body - Text"/>
    <w:qFormat/>
    <w:rsid w:val="00AE6C76"/>
    <w:pPr>
      <w:spacing w:after="120"/>
    </w:pPr>
    <w:rPr>
      <w:rFonts w:ascii="Arial" w:eastAsia="Meiryo" w:hAnsi="Arial" w:cs="Arial"/>
      <w:bCs/>
      <w:sz w:val="19"/>
      <w:lang w:eastAsia="zh-CN"/>
    </w:rPr>
  </w:style>
  <w:style w:type="paragraph" w:styleId="BodyText">
    <w:name w:val="Body Text"/>
    <w:basedOn w:val="Normal"/>
    <w:link w:val="BodyTextChar"/>
    <w:uiPriority w:val="99"/>
    <w:semiHidden/>
    <w:unhideWhenUsed/>
    <w:rsid w:val="00A631CF"/>
  </w:style>
  <w:style w:type="character" w:customStyle="1" w:styleId="BodyTextChar">
    <w:name w:val="Body Text Char"/>
    <w:link w:val="BodyText"/>
    <w:uiPriority w:val="99"/>
    <w:semiHidden/>
    <w:rsid w:val="00A631CF"/>
    <w:rPr>
      <w:sz w:val="22"/>
      <w:szCs w:val="22"/>
      <w:lang w:eastAsia="zh-CN"/>
    </w:rPr>
  </w:style>
  <w:style w:type="paragraph" w:styleId="BodyTextFirstIndent">
    <w:name w:val="Body Text First Indent"/>
    <w:basedOn w:val="BodyText"/>
    <w:link w:val="BodyTextFirstIndentChar"/>
    <w:uiPriority w:val="99"/>
    <w:unhideWhenUsed/>
    <w:rsid w:val="00A631CF"/>
    <w:pPr>
      <w:ind w:firstLine="210"/>
    </w:pPr>
  </w:style>
  <w:style w:type="character" w:customStyle="1" w:styleId="BodyTextFirstIndentChar">
    <w:name w:val="Body Text First Indent Char"/>
    <w:basedOn w:val="BodyTextChar"/>
    <w:link w:val="BodyTextFirstIndent"/>
    <w:uiPriority w:val="99"/>
    <w:rsid w:val="00A631CF"/>
    <w:rPr>
      <w:sz w:val="22"/>
      <w:szCs w:val="22"/>
      <w:lang w:eastAsia="zh-CN"/>
    </w:rPr>
  </w:style>
  <w:style w:type="paragraph" w:styleId="BodyTextIndent">
    <w:name w:val="Body Text Indent"/>
    <w:basedOn w:val="Normal"/>
    <w:link w:val="BodyTextIndentChar"/>
    <w:uiPriority w:val="99"/>
    <w:unhideWhenUsed/>
    <w:rsid w:val="00A631CF"/>
    <w:pPr>
      <w:ind w:left="283"/>
    </w:pPr>
  </w:style>
  <w:style w:type="character" w:customStyle="1" w:styleId="BodyTextIndentChar">
    <w:name w:val="Body Text Indent Char"/>
    <w:link w:val="BodyTextIndent"/>
    <w:uiPriority w:val="99"/>
    <w:rsid w:val="00A631CF"/>
    <w:rPr>
      <w:sz w:val="22"/>
      <w:szCs w:val="22"/>
      <w:lang w:eastAsia="zh-CN"/>
    </w:rPr>
  </w:style>
  <w:style w:type="paragraph" w:styleId="BodyTextFirstIndent2">
    <w:name w:val="Body Text First Indent 2"/>
    <w:basedOn w:val="BodyTextIndent"/>
    <w:link w:val="BodyTextFirstIndent2Char"/>
    <w:uiPriority w:val="99"/>
    <w:unhideWhenUsed/>
    <w:rsid w:val="00A631CF"/>
    <w:pPr>
      <w:ind w:firstLine="210"/>
    </w:pPr>
  </w:style>
  <w:style w:type="character" w:customStyle="1" w:styleId="BodyTextFirstIndent2Char">
    <w:name w:val="Body Text First Indent 2 Char"/>
    <w:basedOn w:val="BodyTextIndentChar"/>
    <w:link w:val="BodyTextFirstIndent2"/>
    <w:uiPriority w:val="99"/>
    <w:rsid w:val="00A631CF"/>
    <w:rPr>
      <w:sz w:val="22"/>
      <w:szCs w:val="22"/>
      <w:lang w:eastAsia="zh-CN"/>
    </w:rPr>
  </w:style>
  <w:style w:type="paragraph" w:styleId="BodyTextIndent2">
    <w:name w:val="Body Text Indent 2"/>
    <w:basedOn w:val="Normal"/>
    <w:link w:val="BodyTextIndent2Char"/>
    <w:uiPriority w:val="99"/>
    <w:unhideWhenUsed/>
    <w:rsid w:val="00A631CF"/>
    <w:pPr>
      <w:spacing w:line="480" w:lineRule="auto"/>
      <w:ind w:left="283"/>
    </w:pPr>
  </w:style>
  <w:style w:type="character" w:customStyle="1" w:styleId="BodyTextIndent2Char">
    <w:name w:val="Body Text Indent 2 Char"/>
    <w:link w:val="BodyTextIndent2"/>
    <w:uiPriority w:val="99"/>
    <w:rsid w:val="00A631CF"/>
    <w:rPr>
      <w:sz w:val="22"/>
      <w:szCs w:val="22"/>
      <w:lang w:eastAsia="zh-CN"/>
    </w:rPr>
  </w:style>
  <w:style w:type="paragraph" w:styleId="List">
    <w:name w:val="List"/>
    <w:basedOn w:val="Normal"/>
    <w:uiPriority w:val="99"/>
    <w:unhideWhenUsed/>
    <w:rsid w:val="00A631CF"/>
    <w:pPr>
      <w:ind w:left="283" w:hanging="283"/>
      <w:contextualSpacing/>
    </w:pPr>
  </w:style>
  <w:style w:type="paragraph" w:styleId="ListBullet">
    <w:name w:val="List Bullet"/>
    <w:uiPriority w:val="99"/>
    <w:unhideWhenUsed/>
    <w:rsid w:val="00D44D24"/>
    <w:pPr>
      <w:numPr>
        <w:numId w:val="1"/>
      </w:numPr>
      <w:spacing w:after="60"/>
      <w:ind w:left="357" w:hanging="357"/>
      <w:contextualSpacing/>
    </w:pPr>
    <w:rPr>
      <w:rFonts w:ascii="Arial" w:hAnsi="Arial"/>
      <w:sz w:val="19"/>
      <w:szCs w:val="22"/>
      <w:lang w:eastAsia="zh-CN"/>
    </w:rPr>
  </w:style>
  <w:style w:type="paragraph" w:customStyle="1" w:styleId="Body-Instructions-Bullet">
    <w:name w:val="Body - Instructions - Bullet"/>
    <w:basedOn w:val="ListBullet"/>
    <w:qFormat/>
    <w:rsid w:val="003B373D"/>
    <w:pPr>
      <w:numPr>
        <w:numId w:val="3"/>
      </w:numPr>
      <w:tabs>
        <w:tab w:val="left" w:pos="284"/>
      </w:tabs>
      <w:ind w:left="284" w:hanging="284"/>
      <w:contextualSpacing w:val="0"/>
    </w:pPr>
    <w:rPr>
      <w:color w:val="FF0000"/>
    </w:rPr>
  </w:style>
  <w:style w:type="paragraph" w:styleId="ListNumber">
    <w:name w:val="List Number"/>
    <w:uiPriority w:val="99"/>
    <w:unhideWhenUsed/>
    <w:rsid w:val="00D44D24"/>
    <w:pPr>
      <w:tabs>
        <w:tab w:val="num" w:pos="360"/>
      </w:tabs>
      <w:spacing w:after="120"/>
      <w:ind w:left="360" w:hanging="360"/>
      <w:contextualSpacing/>
    </w:pPr>
    <w:rPr>
      <w:rFonts w:ascii="Arial" w:hAnsi="Arial"/>
      <w:sz w:val="19"/>
      <w:szCs w:val="22"/>
      <w:lang w:eastAsia="zh-CN"/>
    </w:rPr>
  </w:style>
  <w:style w:type="paragraph" w:customStyle="1" w:styleId="Body-Instructions-ListNumber">
    <w:name w:val="Body - Instructions - List Number"/>
    <w:qFormat/>
    <w:rsid w:val="00E26665"/>
    <w:pPr>
      <w:numPr>
        <w:numId w:val="2"/>
      </w:numPr>
      <w:tabs>
        <w:tab w:val="left" w:pos="284"/>
      </w:tabs>
      <w:spacing w:after="120"/>
    </w:pPr>
    <w:rPr>
      <w:rFonts w:ascii="Arial" w:hAnsi="Arial"/>
      <w:color w:val="FF0000"/>
      <w:sz w:val="19"/>
      <w:szCs w:val="22"/>
      <w:lang w:eastAsia="zh-CN"/>
    </w:rPr>
  </w:style>
  <w:style w:type="paragraph" w:customStyle="1" w:styleId="Body-Table-Heading">
    <w:name w:val="Body - Table - Heading"/>
    <w:qFormat/>
    <w:rsid w:val="00162A9B"/>
    <w:pPr>
      <w:spacing w:before="80" w:after="80"/>
    </w:pPr>
    <w:rPr>
      <w:rFonts w:ascii="Arial" w:eastAsia="Meiryo" w:hAnsi="Arial" w:cs="Arial"/>
      <w:b/>
      <w:sz w:val="18"/>
      <w:szCs w:val="18"/>
      <w:lang w:eastAsia="zh-CN"/>
    </w:rPr>
  </w:style>
  <w:style w:type="paragraph" w:customStyle="1" w:styleId="Body-Table-Text">
    <w:name w:val="Body - Table - Text"/>
    <w:qFormat/>
    <w:rsid w:val="00162A9B"/>
    <w:pPr>
      <w:spacing w:before="60" w:after="60"/>
    </w:pPr>
    <w:rPr>
      <w:rFonts w:ascii="Arial" w:eastAsia="Times New Roman" w:hAnsi="Arial" w:cs="Arial"/>
      <w:noProof/>
      <w:color w:val="000000"/>
      <w:sz w:val="18"/>
      <w:szCs w:val="18"/>
      <w:lang w:eastAsia="en-US"/>
    </w:rPr>
  </w:style>
  <w:style w:type="paragraph" w:customStyle="1" w:styleId="Body-Table-Note">
    <w:name w:val="Body - Table - Note"/>
    <w:qFormat/>
    <w:rsid w:val="00EB09C7"/>
    <w:pPr>
      <w:autoSpaceDE w:val="0"/>
      <w:autoSpaceDN w:val="0"/>
      <w:adjustRightInd w:val="0"/>
      <w:spacing w:after="120"/>
    </w:pPr>
    <w:rPr>
      <w:rFonts w:ascii="Arial" w:eastAsia="Times New Roman" w:hAnsi="Arial" w:cs="Arial"/>
      <w:sz w:val="16"/>
      <w:szCs w:val="16"/>
      <w:lang w:eastAsia="en-US"/>
    </w:rPr>
  </w:style>
  <w:style w:type="paragraph" w:customStyle="1" w:styleId="Body-Text-Smallspace">
    <w:name w:val="Body - Text - Small space"/>
    <w:qFormat/>
    <w:rsid w:val="00AE6C76"/>
    <w:pPr>
      <w:keepNext/>
    </w:pPr>
    <w:rPr>
      <w:rFonts w:ascii="Arial" w:eastAsia="Times New Roman" w:hAnsi="Arial" w:cs="Arial"/>
      <w:sz w:val="10"/>
      <w:szCs w:val="10"/>
      <w:u w:color="FF0000"/>
      <w:lang w:eastAsia="en-US"/>
    </w:rPr>
  </w:style>
  <w:style w:type="paragraph" w:customStyle="1" w:styleId="Heading4-AR">
    <w:name w:val="Heading 4 - AR"/>
    <w:qFormat/>
    <w:rsid w:val="005549E0"/>
    <w:pPr>
      <w:keepNext/>
      <w:spacing w:before="180" w:after="120"/>
    </w:pPr>
    <w:rPr>
      <w:rFonts w:ascii="Arial" w:eastAsia="Meiryo" w:hAnsi="Arial" w:cs="Arial"/>
      <w:b/>
      <w:i/>
      <w:color w:val="000000"/>
      <w:sz w:val="22"/>
      <w:szCs w:val="22"/>
      <w:lang w:eastAsia="en-US"/>
    </w:rPr>
  </w:style>
  <w:style w:type="paragraph" w:customStyle="1" w:styleId="Cover-Header3">
    <w:name w:val="Cover - Header 3"/>
    <w:qFormat/>
    <w:rsid w:val="0063618A"/>
    <w:pPr>
      <w:spacing w:before="60" w:after="60"/>
      <w:jc w:val="center"/>
    </w:pPr>
    <w:rPr>
      <w:rFonts w:ascii="Arial" w:eastAsia="Times New Roman" w:hAnsi="Arial" w:cs="Arial"/>
      <w:i/>
      <w:color w:val="003D69"/>
      <w:sz w:val="18"/>
      <w:szCs w:val="18"/>
      <w:lang w:eastAsia="zh-CN"/>
    </w:rPr>
  </w:style>
  <w:style w:type="paragraph" w:customStyle="1" w:styleId="Cover-Header1">
    <w:name w:val="Cover - Header 1"/>
    <w:rsid w:val="000C3B7B"/>
    <w:pPr>
      <w:spacing w:before="60"/>
      <w:jc w:val="center"/>
    </w:pPr>
    <w:rPr>
      <w:rFonts w:ascii="Arial" w:eastAsia="Times New Roman" w:hAnsi="Arial" w:cs="Arial"/>
      <w:sz w:val="56"/>
      <w:szCs w:val="56"/>
      <w:lang w:eastAsia="zh-CN"/>
    </w:rPr>
  </w:style>
  <w:style w:type="paragraph" w:customStyle="1" w:styleId="Cover-AR">
    <w:name w:val="Cover - AR"/>
    <w:qFormat/>
    <w:rsid w:val="0063618A"/>
    <w:pPr>
      <w:spacing w:before="60" w:after="60"/>
      <w:jc w:val="right"/>
    </w:pPr>
    <w:rPr>
      <w:rFonts w:ascii="Arial" w:eastAsia="Times New Roman" w:hAnsi="Arial" w:cs="Arial"/>
      <w:b/>
      <w:color w:val="003D69"/>
      <w:sz w:val="96"/>
      <w:szCs w:val="22"/>
      <w:lang w:eastAsia="zh-CN"/>
    </w:rPr>
  </w:style>
  <w:style w:type="paragraph" w:customStyle="1" w:styleId="Cover-Year">
    <w:name w:val="Cover - Year"/>
    <w:basedOn w:val="Normal"/>
    <w:qFormat/>
    <w:rsid w:val="000C3B7B"/>
    <w:pPr>
      <w:spacing w:after="0"/>
      <w:jc w:val="right"/>
    </w:pPr>
    <w:rPr>
      <w:color w:val="FFFFFF"/>
      <w:sz w:val="120"/>
      <w:szCs w:val="120"/>
    </w:rPr>
  </w:style>
  <w:style w:type="paragraph" w:customStyle="1" w:styleId="Cover-QldStateSchRept">
    <w:name w:val="Cover - Qld State Sch Rept"/>
    <w:basedOn w:val="Normal"/>
    <w:qFormat/>
    <w:rsid w:val="000C3B7B"/>
    <w:pPr>
      <w:spacing w:after="0"/>
      <w:jc w:val="right"/>
    </w:pPr>
    <w:rPr>
      <w:b/>
      <w:color w:val="FFFFFF"/>
      <w:sz w:val="32"/>
    </w:rPr>
  </w:style>
  <w:style w:type="paragraph" w:customStyle="1" w:styleId="Cover-Header2">
    <w:name w:val="Cover - Header 2"/>
    <w:qFormat/>
    <w:rsid w:val="0063618A"/>
    <w:pPr>
      <w:spacing w:before="480" w:after="120"/>
      <w:jc w:val="center"/>
    </w:pPr>
    <w:rPr>
      <w:rFonts w:ascii="Arial" w:eastAsia="Meiryo" w:hAnsi="Arial" w:cs="Arial"/>
      <w:b/>
      <w:i/>
      <w:color w:val="003D69"/>
      <w:sz w:val="28"/>
      <w:szCs w:val="28"/>
      <w:lang w:eastAsia="zh-CN"/>
    </w:rPr>
  </w:style>
  <w:style w:type="paragraph" w:customStyle="1" w:styleId="Cover-Header4">
    <w:name w:val="Cover - Header 4"/>
    <w:qFormat/>
    <w:rsid w:val="0063618A"/>
    <w:pPr>
      <w:spacing w:before="60"/>
      <w:jc w:val="center"/>
    </w:pPr>
    <w:rPr>
      <w:rFonts w:ascii="Arial" w:eastAsia="Times New Roman" w:hAnsi="Arial" w:cs="Arial"/>
      <w:color w:val="003D69"/>
      <w:sz w:val="18"/>
      <w:szCs w:val="18"/>
      <w:lang w:eastAsia="zh-CN"/>
    </w:rPr>
  </w:style>
  <w:style w:type="paragraph" w:customStyle="1" w:styleId="Body-Text-List-Number">
    <w:name w:val="Body - Text - List - Number"/>
    <w:qFormat/>
    <w:rsid w:val="00B64DF9"/>
    <w:pPr>
      <w:numPr>
        <w:numId w:val="4"/>
      </w:numPr>
      <w:tabs>
        <w:tab w:val="left" w:pos="284"/>
      </w:tabs>
      <w:spacing w:after="120"/>
      <w:ind w:left="284" w:hanging="284"/>
    </w:pPr>
    <w:rPr>
      <w:rFonts w:ascii="Arial" w:hAnsi="Arial"/>
      <w:sz w:val="19"/>
      <w:szCs w:val="22"/>
      <w:lang w:val="en-US" w:eastAsia="en-US"/>
    </w:rPr>
  </w:style>
  <w:style w:type="paragraph" w:customStyle="1" w:styleId="Body-Text-List-Bullet">
    <w:name w:val="Body - Text - List - Bullet"/>
    <w:qFormat/>
    <w:rsid w:val="003B373D"/>
    <w:pPr>
      <w:numPr>
        <w:numId w:val="6"/>
      </w:numPr>
      <w:tabs>
        <w:tab w:val="left" w:pos="284"/>
      </w:tabs>
      <w:spacing w:after="120"/>
      <w:ind w:left="284" w:hanging="284"/>
    </w:pPr>
    <w:rPr>
      <w:rFonts w:ascii="Arial" w:hAnsi="Arial"/>
      <w:sz w:val="19"/>
      <w:szCs w:val="22"/>
      <w:lang w:eastAsia="en-US"/>
    </w:rPr>
  </w:style>
  <w:style w:type="paragraph" w:customStyle="1" w:styleId="Body-Table-Bullet">
    <w:name w:val="Body - Table - Bullet"/>
    <w:basedOn w:val="Body-Table-Text"/>
    <w:qFormat/>
    <w:rsid w:val="00016FE6"/>
    <w:pPr>
      <w:numPr>
        <w:numId w:val="7"/>
      </w:numPr>
      <w:tabs>
        <w:tab w:val="left" w:pos="284"/>
      </w:tabs>
      <w:ind w:left="284" w:hanging="284"/>
    </w:pPr>
  </w:style>
  <w:style w:type="paragraph" w:customStyle="1" w:styleId="Heading1NewPage-AR">
    <w:name w:val="Heading 1 New Page - AR"/>
    <w:basedOn w:val="Heading1-AR"/>
    <w:qFormat/>
    <w:rsid w:val="00EB09C7"/>
    <w:pPr>
      <w:pageBreakBefore/>
    </w:pPr>
  </w:style>
  <w:style w:type="paragraph" w:customStyle="1" w:styleId="Heading5-AR">
    <w:name w:val="Heading 5 - AR"/>
    <w:qFormat/>
    <w:rsid w:val="00F66436"/>
    <w:pPr>
      <w:spacing w:after="120"/>
    </w:pPr>
    <w:rPr>
      <w:rFonts w:ascii="Arial" w:eastAsia="Meiryo" w:hAnsi="Arial" w:cs="Arial"/>
      <w:b/>
      <w:i/>
      <w:color w:val="808080"/>
      <w:szCs w:val="22"/>
      <w:lang w:eastAsia="zh-CN"/>
    </w:rPr>
  </w:style>
  <w:style w:type="paragraph" w:customStyle="1" w:styleId="TableCaption-AR">
    <w:name w:val="Table Caption - AR"/>
    <w:basedOn w:val="Heading5-AR"/>
    <w:qFormat/>
    <w:rsid w:val="005549E0"/>
    <w:pPr>
      <w:keepNext/>
      <w:spacing w:after="60"/>
    </w:pPr>
    <w:rPr>
      <w:b w:val="0"/>
      <w:i w:val="0"/>
      <w:noProof/>
      <w:sz w:val="18"/>
      <w:szCs w:val="19"/>
    </w:rPr>
  </w:style>
  <w:style w:type="paragraph" w:customStyle="1" w:styleId="Instructions-Heading">
    <w:name w:val="Instructions - Heading"/>
    <w:basedOn w:val="Heading3-AR"/>
    <w:qFormat/>
    <w:rsid w:val="00CD7418"/>
    <w:rPr>
      <w:noProof/>
      <w:color w:val="FF0000"/>
      <w:lang w:eastAsia="zh-TW"/>
    </w:rPr>
  </w:style>
  <w:style w:type="paragraph" w:customStyle="1" w:styleId="Body-Table-HeadingBig">
    <w:name w:val="Body - Table - Heading Big"/>
    <w:qFormat/>
    <w:rsid w:val="00774A6E"/>
    <w:pPr>
      <w:spacing w:before="60" w:after="60"/>
    </w:pPr>
    <w:rPr>
      <w:rFonts w:ascii="Arial" w:eastAsia="Meiryo" w:hAnsi="Arial" w:cs="Arial"/>
      <w:b/>
      <w:sz w:val="23"/>
      <w:szCs w:val="23"/>
      <w:lang w:eastAsia="zh-CN"/>
    </w:rPr>
  </w:style>
  <w:style w:type="paragraph" w:customStyle="1" w:styleId="Body-Table-Text2">
    <w:name w:val="Body - Table - Text 2"/>
    <w:basedOn w:val="Body-Text"/>
    <w:qFormat/>
    <w:rsid w:val="00774A6E"/>
    <w:pPr>
      <w:spacing w:before="80" w:after="40"/>
    </w:pPr>
  </w:style>
  <w:style w:type="paragraph" w:customStyle="1" w:styleId="Body-Table-TextCentred">
    <w:name w:val="Body - Table - Text Centred"/>
    <w:basedOn w:val="Body-Text"/>
    <w:qFormat/>
    <w:rsid w:val="00EE2F4E"/>
    <w:pPr>
      <w:spacing w:before="80" w:after="40"/>
      <w:jc w:val="center"/>
    </w:pPr>
    <w:rPr>
      <w:sz w:val="18"/>
    </w:rPr>
  </w:style>
  <w:style w:type="paragraph" w:customStyle="1" w:styleId="Body-Table-HeadingCentred">
    <w:name w:val="Body - Table - Heading Centred"/>
    <w:basedOn w:val="Body-Table-Heading"/>
    <w:qFormat/>
    <w:rsid w:val="00B81905"/>
    <w:pPr>
      <w:jc w:val="center"/>
    </w:pPr>
  </w:style>
  <w:style w:type="paragraph" w:customStyle="1" w:styleId="Body-Text-Note">
    <w:name w:val="Body - Text - Note"/>
    <w:qFormat/>
    <w:rsid w:val="00B64DF9"/>
    <w:pPr>
      <w:spacing w:after="120"/>
      <w:ind w:left="567" w:hanging="567"/>
    </w:pPr>
    <w:rPr>
      <w:rFonts w:ascii="Arial" w:eastAsia="Meiryo" w:hAnsi="Arial" w:cs="Arial"/>
      <w:bCs/>
      <w:sz w:val="18"/>
      <w:szCs w:val="18"/>
      <w:lang w:eastAsia="zh-CN"/>
    </w:rPr>
  </w:style>
  <w:style w:type="table" w:customStyle="1" w:styleId="TableGrid1">
    <w:name w:val="Table Grid1"/>
    <w:basedOn w:val="TableNormal"/>
    <w:next w:val="TableGrid"/>
    <w:uiPriority w:val="59"/>
    <w:rsid w:val="004653A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6EB2"/>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62E24"/>
    <w:pPr>
      <w:spacing w:after="0"/>
    </w:pPr>
    <w:rPr>
      <w:rFonts w:ascii="Calibri" w:eastAsiaTheme="minorEastAsia" w:hAnsi="Calibri" w:cs="Calibri"/>
      <w:bCs w:val="0"/>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3102">
      <w:bodyDiv w:val="1"/>
      <w:marLeft w:val="0"/>
      <w:marRight w:val="0"/>
      <w:marTop w:val="0"/>
      <w:marBottom w:val="0"/>
      <w:divBdr>
        <w:top w:val="none" w:sz="0" w:space="0" w:color="auto"/>
        <w:left w:val="none" w:sz="0" w:space="0" w:color="auto"/>
        <w:bottom w:val="none" w:sz="0" w:space="0" w:color="auto"/>
        <w:right w:val="none" w:sz="0" w:space="0" w:color="auto"/>
      </w:divBdr>
    </w:div>
    <w:div w:id="104421996">
      <w:bodyDiv w:val="1"/>
      <w:marLeft w:val="0"/>
      <w:marRight w:val="0"/>
      <w:marTop w:val="0"/>
      <w:marBottom w:val="0"/>
      <w:divBdr>
        <w:top w:val="none" w:sz="0" w:space="0" w:color="auto"/>
        <w:left w:val="none" w:sz="0" w:space="0" w:color="auto"/>
        <w:bottom w:val="none" w:sz="0" w:space="0" w:color="auto"/>
        <w:right w:val="none" w:sz="0" w:space="0" w:color="auto"/>
      </w:divBdr>
      <w:divsChild>
        <w:div w:id="580482413">
          <w:marLeft w:val="0"/>
          <w:marRight w:val="0"/>
          <w:marTop w:val="0"/>
          <w:marBottom w:val="0"/>
          <w:divBdr>
            <w:top w:val="none" w:sz="0" w:space="0" w:color="auto"/>
            <w:left w:val="none" w:sz="0" w:space="0" w:color="auto"/>
            <w:bottom w:val="none" w:sz="0" w:space="0" w:color="auto"/>
            <w:right w:val="none" w:sz="0" w:space="0" w:color="auto"/>
          </w:divBdr>
          <w:divsChild>
            <w:div w:id="1709262186">
              <w:marLeft w:val="0"/>
              <w:marRight w:val="0"/>
              <w:marTop w:val="0"/>
              <w:marBottom w:val="0"/>
              <w:divBdr>
                <w:top w:val="none" w:sz="0" w:space="0" w:color="auto"/>
                <w:left w:val="none" w:sz="0" w:space="0" w:color="auto"/>
                <w:bottom w:val="none" w:sz="0" w:space="0" w:color="auto"/>
                <w:right w:val="none" w:sz="0" w:space="0" w:color="auto"/>
              </w:divBdr>
              <w:divsChild>
                <w:div w:id="1688943779">
                  <w:marLeft w:val="0"/>
                  <w:marRight w:val="0"/>
                  <w:marTop w:val="0"/>
                  <w:marBottom w:val="0"/>
                  <w:divBdr>
                    <w:top w:val="single" w:sz="18" w:space="12" w:color="974E39"/>
                    <w:left w:val="single" w:sz="18" w:space="12" w:color="974E39"/>
                    <w:bottom w:val="single" w:sz="18" w:space="12" w:color="974E39"/>
                    <w:right w:val="single" w:sz="18" w:space="12" w:color="974E39"/>
                  </w:divBdr>
                  <w:divsChild>
                    <w:div w:id="942492710">
                      <w:marLeft w:val="0"/>
                      <w:marRight w:val="0"/>
                      <w:marTop w:val="0"/>
                      <w:marBottom w:val="0"/>
                      <w:divBdr>
                        <w:top w:val="none" w:sz="0" w:space="0" w:color="auto"/>
                        <w:left w:val="none" w:sz="0" w:space="0" w:color="auto"/>
                        <w:bottom w:val="none" w:sz="0" w:space="0" w:color="auto"/>
                        <w:right w:val="none" w:sz="0" w:space="0" w:color="auto"/>
                      </w:divBdr>
                      <w:divsChild>
                        <w:div w:id="1261141372">
                          <w:marLeft w:val="0"/>
                          <w:marRight w:val="0"/>
                          <w:marTop w:val="0"/>
                          <w:marBottom w:val="0"/>
                          <w:divBdr>
                            <w:top w:val="none" w:sz="0" w:space="0" w:color="auto"/>
                            <w:left w:val="none" w:sz="0" w:space="0" w:color="auto"/>
                            <w:bottom w:val="none" w:sz="0" w:space="0" w:color="auto"/>
                            <w:right w:val="none" w:sz="0" w:space="0" w:color="auto"/>
                          </w:divBdr>
                          <w:divsChild>
                            <w:div w:id="994266213">
                              <w:marLeft w:val="0"/>
                              <w:marRight w:val="0"/>
                              <w:marTop w:val="0"/>
                              <w:marBottom w:val="0"/>
                              <w:divBdr>
                                <w:top w:val="single" w:sz="6" w:space="0" w:color="auto"/>
                                <w:left w:val="single" w:sz="6" w:space="0" w:color="auto"/>
                                <w:bottom w:val="single" w:sz="6" w:space="0" w:color="auto"/>
                                <w:right w:val="single" w:sz="6" w:space="0" w:color="auto"/>
                              </w:divBdr>
                              <w:divsChild>
                                <w:div w:id="491069410">
                                  <w:marLeft w:val="0"/>
                                  <w:marRight w:val="0"/>
                                  <w:marTop w:val="0"/>
                                  <w:marBottom w:val="0"/>
                                  <w:divBdr>
                                    <w:top w:val="none" w:sz="0" w:space="0" w:color="auto"/>
                                    <w:left w:val="none" w:sz="0" w:space="0" w:color="auto"/>
                                    <w:bottom w:val="none" w:sz="0" w:space="0" w:color="auto"/>
                                    <w:right w:val="none" w:sz="0" w:space="0" w:color="auto"/>
                                  </w:divBdr>
                                  <w:divsChild>
                                    <w:div w:id="983974937">
                                      <w:marLeft w:val="0"/>
                                      <w:marRight w:val="0"/>
                                      <w:marTop w:val="0"/>
                                      <w:marBottom w:val="0"/>
                                      <w:divBdr>
                                        <w:top w:val="none" w:sz="0" w:space="0" w:color="auto"/>
                                        <w:left w:val="none" w:sz="0" w:space="0" w:color="auto"/>
                                        <w:bottom w:val="none" w:sz="0" w:space="0" w:color="auto"/>
                                        <w:right w:val="none" w:sz="0" w:space="0" w:color="auto"/>
                                      </w:divBdr>
                                      <w:divsChild>
                                        <w:div w:id="15743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932149">
      <w:bodyDiv w:val="1"/>
      <w:marLeft w:val="0"/>
      <w:marRight w:val="0"/>
      <w:marTop w:val="0"/>
      <w:marBottom w:val="0"/>
      <w:divBdr>
        <w:top w:val="none" w:sz="0" w:space="0" w:color="auto"/>
        <w:left w:val="none" w:sz="0" w:space="0" w:color="auto"/>
        <w:bottom w:val="none" w:sz="0" w:space="0" w:color="auto"/>
        <w:right w:val="none" w:sz="0" w:space="0" w:color="auto"/>
      </w:divBdr>
    </w:div>
    <w:div w:id="435715693">
      <w:bodyDiv w:val="1"/>
      <w:marLeft w:val="0"/>
      <w:marRight w:val="0"/>
      <w:marTop w:val="0"/>
      <w:marBottom w:val="0"/>
      <w:divBdr>
        <w:top w:val="none" w:sz="0" w:space="0" w:color="auto"/>
        <w:left w:val="none" w:sz="0" w:space="0" w:color="auto"/>
        <w:bottom w:val="none" w:sz="0" w:space="0" w:color="auto"/>
        <w:right w:val="none" w:sz="0" w:space="0" w:color="auto"/>
      </w:divBdr>
      <w:divsChild>
        <w:div w:id="1519662548">
          <w:marLeft w:val="0"/>
          <w:marRight w:val="0"/>
          <w:marTop w:val="0"/>
          <w:marBottom w:val="0"/>
          <w:divBdr>
            <w:top w:val="none" w:sz="0" w:space="0" w:color="auto"/>
            <w:left w:val="none" w:sz="0" w:space="0" w:color="auto"/>
            <w:bottom w:val="none" w:sz="0" w:space="0" w:color="auto"/>
            <w:right w:val="none" w:sz="0" w:space="0" w:color="auto"/>
          </w:divBdr>
          <w:divsChild>
            <w:div w:id="619338337">
              <w:marLeft w:val="0"/>
              <w:marRight w:val="0"/>
              <w:marTop w:val="0"/>
              <w:marBottom w:val="0"/>
              <w:divBdr>
                <w:top w:val="none" w:sz="0" w:space="0" w:color="auto"/>
                <w:left w:val="none" w:sz="0" w:space="0" w:color="auto"/>
                <w:bottom w:val="none" w:sz="0" w:space="0" w:color="auto"/>
                <w:right w:val="none" w:sz="0" w:space="0" w:color="auto"/>
              </w:divBdr>
              <w:divsChild>
                <w:div w:id="1548489900">
                  <w:marLeft w:val="0"/>
                  <w:marRight w:val="0"/>
                  <w:marTop w:val="0"/>
                  <w:marBottom w:val="0"/>
                  <w:divBdr>
                    <w:top w:val="single" w:sz="18" w:space="12" w:color="974E39"/>
                    <w:left w:val="single" w:sz="18" w:space="12" w:color="974E39"/>
                    <w:bottom w:val="single" w:sz="18" w:space="12" w:color="974E39"/>
                    <w:right w:val="single" w:sz="18" w:space="12" w:color="974E39"/>
                  </w:divBdr>
                  <w:divsChild>
                    <w:div w:id="1963923366">
                      <w:marLeft w:val="0"/>
                      <w:marRight w:val="0"/>
                      <w:marTop w:val="0"/>
                      <w:marBottom w:val="0"/>
                      <w:divBdr>
                        <w:top w:val="none" w:sz="0" w:space="0" w:color="auto"/>
                        <w:left w:val="none" w:sz="0" w:space="0" w:color="auto"/>
                        <w:bottom w:val="none" w:sz="0" w:space="0" w:color="auto"/>
                        <w:right w:val="none" w:sz="0" w:space="0" w:color="auto"/>
                      </w:divBdr>
                      <w:divsChild>
                        <w:div w:id="2000234178">
                          <w:marLeft w:val="0"/>
                          <w:marRight w:val="0"/>
                          <w:marTop w:val="0"/>
                          <w:marBottom w:val="0"/>
                          <w:divBdr>
                            <w:top w:val="none" w:sz="0" w:space="0" w:color="auto"/>
                            <w:left w:val="none" w:sz="0" w:space="0" w:color="auto"/>
                            <w:bottom w:val="none" w:sz="0" w:space="0" w:color="auto"/>
                            <w:right w:val="none" w:sz="0" w:space="0" w:color="auto"/>
                          </w:divBdr>
                          <w:divsChild>
                            <w:div w:id="742026174">
                              <w:marLeft w:val="0"/>
                              <w:marRight w:val="0"/>
                              <w:marTop w:val="0"/>
                              <w:marBottom w:val="0"/>
                              <w:divBdr>
                                <w:top w:val="single" w:sz="6" w:space="0" w:color="auto"/>
                                <w:left w:val="single" w:sz="6" w:space="0" w:color="auto"/>
                                <w:bottom w:val="single" w:sz="6" w:space="0" w:color="auto"/>
                                <w:right w:val="single" w:sz="6" w:space="0" w:color="auto"/>
                              </w:divBdr>
                              <w:divsChild>
                                <w:div w:id="67265334">
                                  <w:marLeft w:val="0"/>
                                  <w:marRight w:val="0"/>
                                  <w:marTop w:val="0"/>
                                  <w:marBottom w:val="0"/>
                                  <w:divBdr>
                                    <w:top w:val="none" w:sz="0" w:space="0" w:color="auto"/>
                                    <w:left w:val="none" w:sz="0" w:space="0" w:color="auto"/>
                                    <w:bottom w:val="none" w:sz="0" w:space="0" w:color="auto"/>
                                    <w:right w:val="none" w:sz="0" w:space="0" w:color="auto"/>
                                  </w:divBdr>
                                  <w:divsChild>
                                    <w:div w:id="1016418443">
                                      <w:marLeft w:val="0"/>
                                      <w:marRight w:val="0"/>
                                      <w:marTop w:val="0"/>
                                      <w:marBottom w:val="0"/>
                                      <w:divBdr>
                                        <w:top w:val="none" w:sz="0" w:space="0" w:color="auto"/>
                                        <w:left w:val="none" w:sz="0" w:space="0" w:color="auto"/>
                                        <w:bottom w:val="none" w:sz="0" w:space="0" w:color="auto"/>
                                        <w:right w:val="none" w:sz="0" w:space="0" w:color="auto"/>
                                      </w:divBdr>
                                      <w:divsChild>
                                        <w:div w:id="14080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436194">
      <w:bodyDiv w:val="1"/>
      <w:marLeft w:val="0"/>
      <w:marRight w:val="0"/>
      <w:marTop w:val="0"/>
      <w:marBottom w:val="0"/>
      <w:divBdr>
        <w:top w:val="none" w:sz="0" w:space="0" w:color="auto"/>
        <w:left w:val="none" w:sz="0" w:space="0" w:color="auto"/>
        <w:bottom w:val="none" w:sz="0" w:space="0" w:color="auto"/>
        <w:right w:val="none" w:sz="0" w:space="0" w:color="auto"/>
      </w:divBdr>
    </w:div>
    <w:div w:id="544685324">
      <w:bodyDiv w:val="1"/>
      <w:marLeft w:val="0"/>
      <w:marRight w:val="0"/>
      <w:marTop w:val="0"/>
      <w:marBottom w:val="0"/>
      <w:divBdr>
        <w:top w:val="none" w:sz="0" w:space="0" w:color="auto"/>
        <w:left w:val="none" w:sz="0" w:space="0" w:color="auto"/>
        <w:bottom w:val="none" w:sz="0" w:space="0" w:color="auto"/>
        <w:right w:val="none" w:sz="0" w:space="0" w:color="auto"/>
      </w:divBdr>
    </w:div>
    <w:div w:id="618754635">
      <w:bodyDiv w:val="1"/>
      <w:marLeft w:val="0"/>
      <w:marRight w:val="0"/>
      <w:marTop w:val="0"/>
      <w:marBottom w:val="0"/>
      <w:divBdr>
        <w:top w:val="none" w:sz="0" w:space="0" w:color="auto"/>
        <w:left w:val="none" w:sz="0" w:space="0" w:color="auto"/>
        <w:bottom w:val="none" w:sz="0" w:space="0" w:color="auto"/>
        <w:right w:val="none" w:sz="0" w:space="0" w:color="auto"/>
      </w:divBdr>
    </w:div>
    <w:div w:id="683092417">
      <w:bodyDiv w:val="1"/>
      <w:marLeft w:val="0"/>
      <w:marRight w:val="0"/>
      <w:marTop w:val="0"/>
      <w:marBottom w:val="0"/>
      <w:divBdr>
        <w:top w:val="none" w:sz="0" w:space="0" w:color="auto"/>
        <w:left w:val="none" w:sz="0" w:space="0" w:color="auto"/>
        <w:bottom w:val="none" w:sz="0" w:space="0" w:color="auto"/>
        <w:right w:val="none" w:sz="0" w:space="0" w:color="auto"/>
      </w:divBdr>
    </w:div>
    <w:div w:id="734400181">
      <w:bodyDiv w:val="1"/>
      <w:marLeft w:val="0"/>
      <w:marRight w:val="0"/>
      <w:marTop w:val="0"/>
      <w:marBottom w:val="0"/>
      <w:divBdr>
        <w:top w:val="none" w:sz="0" w:space="0" w:color="auto"/>
        <w:left w:val="none" w:sz="0" w:space="0" w:color="auto"/>
        <w:bottom w:val="none" w:sz="0" w:space="0" w:color="auto"/>
        <w:right w:val="none" w:sz="0" w:space="0" w:color="auto"/>
      </w:divBdr>
      <w:divsChild>
        <w:div w:id="1892182181">
          <w:marLeft w:val="0"/>
          <w:marRight w:val="0"/>
          <w:marTop w:val="0"/>
          <w:marBottom w:val="0"/>
          <w:divBdr>
            <w:top w:val="none" w:sz="0" w:space="0" w:color="auto"/>
            <w:left w:val="none" w:sz="0" w:space="0" w:color="auto"/>
            <w:bottom w:val="none" w:sz="0" w:space="0" w:color="auto"/>
            <w:right w:val="none" w:sz="0" w:space="0" w:color="auto"/>
          </w:divBdr>
          <w:divsChild>
            <w:div w:id="2080975651">
              <w:marLeft w:val="0"/>
              <w:marRight w:val="0"/>
              <w:marTop w:val="0"/>
              <w:marBottom w:val="0"/>
              <w:divBdr>
                <w:top w:val="none" w:sz="0" w:space="0" w:color="auto"/>
                <w:left w:val="none" w:sz="0" w:space="0" w:color="auto"/>
                <w:bottom w:val="none" w:sz="0" w:space="0" w:color="auto"/>
                <w:right w:val="none" w:sz="0" w:space="0" w:color="auto"/>
              </w:divBdr>
              <w:divsChild>
                <w:div w:id="1010521527">
                  <w:marLeft w:val="0"/>
                  <w:marRight w:val="0"/>
                  <w:marTop w:val="0"/>
                  <w:marBottom w:val="0"/>
                  <w:divBdr>
                    <w:top w:val="single" w:sz="18" w:space="12" w:color="974E39"/>
                    <w:left w:val="single" w:sz="18" w:space="12" w:color="974E39"/>
                    <w:bottom w:val="single" w:sz="18" w:space="12" w:color="974E39"/>
                    <w:right w:val="single" w:sz="18" w:space="12" w:color="974E39"/>
                  </w:divBdr>
                  <w:divsChild>
                    <w:div w:id="328678783">
                      <w:marLeft w:val="0"/>
                      <w:marRight w:val="0"/>
                      <w:marTop w:val="0"/>
                      <w:marBottom w:val="0"/>
                      <w:divBdr>
                        <w:top w:val="none" w:sz="0" w:space="0" w:color="auto"/>
                        <w:left w:val="none" w:sz="0" w:space="0" w:color="auto"/>
                        <w:bottom w:val="none" w:sz="0" w:space="0" w:color="auto"/>
                        <w:right w:val="none" w:sz="0" w:space="0" w:color="auto"/>
                      </w:divBdr>
                      <w:divsChild>
                        <w:div w:id="1940017809">
                          <w:marLeft w:val="0"/>
                          <w:marRight w:val="0"/>
                          <w:marTop w:val="0"/>
                          <w:marBottom w:val="0"/>
                          <w:divBdr>
                            <w:top w:val="none" w:sz="0" w:space="0" w:color="auto"/>
                            <w:left w:val="none" w:sz="0" w:space="0" w:color="auto"/>
                            <w:bottom w:val="none" w:sz="0" w:space="0" w:color="auto"/>
                            <w:right w:val="none" w:sz="0" w:space="0" w:color="auto"/>
                          </w:divBdr>
                          <w:divsChild>
                            <w:div w:id="1876654328">
                              <w:marLeft w:val="0"/>
                              <w:marRight w:val="0"/>
                              <w:marTop w:val="0"/>
                              <w:marBottom w:val="0"/>
                              <w:divBdr>
                                <w:top w:val="single" w:sz="6" w:space="0" w:color="auto"/>
                                <w:left w:val="single" w:sz="6" w:space="0" w:color="auto"/>
                                <w:bottom w:val="single" w:sz="6" w:space="0" w:color="auto"/>
                                <w:right w:val="single" w:sz="6" w:space="0" w:color="auto"/>
                              </w:divBdr>
                              <w:divsChild>
                                <w:div w:id="700741473">
                                  <w:marLeft w:val="0"/>
                                  <w:marRight w:val="0"/>
                                  <w:marTop w:val="0"/>
                                  <w:marBottom w:val="0"/>
                                  <w:divBdr>
                                    <w:top w:val="none" w:sz="0" w:space="0" w:color="auto"/>
                                    <w:left w:val="none" w:sz="0" w:space="0" w:color="auto"/>
                                    <w:bottom w:val="none" w:sz="0" w:space="0" w:color="auto"/>
                                    <w:right w:val="none" w:sz="0" w:space="0" w:color="auto"/>
                                  </w:divBdr>
                                  <w:divsChild>
                                    <w:div w:id="1641223844">
                                      <w:marLeft w:val="0"/>
                                      <w:marRight w:val="0"/>
                                      <w:marTop w:val="0"/>
                                      <w:marBottom w:val="0"/>
                                      <w:divBdr>
                                        <w:top w:val="none" w:sz="0" w:space="0" w:color="auto"/>
                                        <w:left w:val="none" w:sz="0" w:space="0" w:color="auto"/>
                                        <w:bottom w:val="none" w:sz="0" w:space="0" w:color="auto"/>
                                        <w:right w:val="none" w:sz="0" w:space="0" w:color="auto"/>
                                      </w:divBdr>
                                      <w:divsChild>
                                        <w:div w:id="891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959995">
      <w:bodyDiv w:val="1"/>
      <w:marLeft w:val="0"/>
      <w:marRight w:val="0"/>
      <w:marTop w:val="0"/>
      <w:marBottom w:val="0"/>
      <w:divBdr>
        <w:top w:val="none" w:sz="0" w:space="0" w:color="auto"/>
        <w:left w:val="none" w:sz="0" w:space="0" w:color="auto"/>
        <w:bottom w:val="none" w:sz="0" w:space="0" w:color="auto"/>
        <w:right w:val="none" w:sz="0" w:space="0" w:color="auto"/>
      </w:divBdr>
      <w:divsChild>
        <w:div w:id="1878540191">
          <w:marLeft w:val="0"/>
          <w:marRight w:val="0"/>
          <w:marTop w:val="0"/>
          <w:marBottom w:val="0"/>
          <w:divBdr>
            <w:top w:val="none" w:sz="0" w:space="0" w:color="auto"/>
            <w:left w:val="none" w:sz="0" w:space="0" w:color="auto"/>
            <w:bottom w:val="none" w:sz="0" w:space="0" w:color="auto"/>
            <w:right w:val="none" w:sz="0" w:space="0" w:color="auto"/>
          </w:divBdr>
          <w:divsChild>
            <w:div w:id="1433277324">
              <w:marLeft w:val="0"/>
              <w:marRight w:val="0"/>
              <w:marTop w:val="0"/>
              <w:marBottom w:val="0"/>
              <w:divBdr>
                <w:top w:val="none" w:sz="0" w:space="0" w:color="auto"/>
                <w:left w:val="none" w:sz="0" w:space="0" w:color="auto"/>
                <w:bottom w:val="none" w:sz="0" w:space="0" w:color="auto"/>
                <w:right w:val="none" w:sz="0" w:space="0" w:color="auto"/>
              </w:divBdr>
              <w:divsChild>
                <w:div w:id="476146170">
                  <w:marLeft w:val="0"/>
                  <w:marRight w:val="0"/>
                  <w:marTop w:val="0"/>
                  <w:marBottom w:val="0"/>
                  <w:divBdr>
                    <w:top w:val="single" w:sz="18" w:space="12" w:color="974E39"/>
                    <w:left w:val="single" w:sz="18" w:space="12" w:color="974E39"/>
                    <w:bottom w:val="single" w:sz="18" w:space="12" w:color="974E39"/>
                    <w:right w:val="single" w:sz="18" w:space="12" w:color="974E39"/>
                  </w:divBdr>
                  <w:divsChild>
                    <w:div w:id="2111005240">
                      <w:marLeft w:val="0"/>
                      <w:marRight w:val="0"/>
                      <w:marTop w:val="0"/>
                      <w:marBottom w:val="0"/>
                      <w:divBdr>
                        <w:top w:val="none" w:sz="0" w:space="0" w:color="auto"/>
                        <w:left w:val="none" w:sz="0" w:space="0" w:color="auto"/>
                        <w:bottom w:val="none" w:sz="0" w:space="0" w:color="auto"/>
                        <w:right w:val="none" w:sz="0" w:space="0" w:color="auto"/>
                      </w:divBdr>
                      <w:divsChild>
                        <w:div w:id="2076509728">
                          <w:marLeft w:val="0"/>
                          <w:marRight w:val="0"/>
                          <w:marTop w:val="0"/>
                          <w:marBottom w:val="0"/>
                          <w:divBdr>
                            <w:top w:val="none" w:sz="0" w:space="0" w:color="auto"/>
                            <w:left w:val="none" w:sz="0" w:space="0" w:color="auto"/>
                            <w:bottom w:val="none" w:sz="0" w:space="0" w:color="auto"/>
                            <w:right w:val="none" w:sz="0" w:space="0" w:color="auto"/>
                          </w:divBdr>
                          <w:divsChild>
                            <w:div w:id="664862743">
                              <w:marLeft w:val="0"/>
                              <w:marRight w:val="0"/>
                              <w:marTop w:val="0"/>
                              <w:marBottom w:val="0"/>
                              <w:divBdr>
                                <w:top w:val="single" w:sz="6" w:space="0" w:color="auto"/>
                                <w:left w:val="single" w:sz="6" w:space="0" w:color="auto"/>
                                <w:bottom w:val="single" w:sz="6" w:space="0" w:color="auto"/>
                                <w:right w:val="single" w:sz="6" w:space="0" w:color="auto"/>
                              </w:divBdr>
                              <w:divsChild>
                                <w:div w:id="196041992">
                                  <w:marLeft w:val="0"/>
                                  <w:marRight w:val="0"/>
                                  <w:marTop w:val="0"/>
                                  <w:marBottom w:val="0"/>
                                  <w:divBdr>
                                    <w:top w:val="none" w:sz="0" w:space="0" w:color="auto"/>
                                    <w:left w:val="none" w:sz="0" w:space="0" w:color="auto"/>
                                    <w:bottom w:val="none" w:sz="0" w:space="0" w:color="auto"/>
                                    <w:right w:val="none" w:sz="0" w:space="0" w:color="auto"/>
                                  </w:divBdr>
                                  <w:divsChild>
                                    <w:div w:id="1891528415">
                                      <w:marLeft w:val="0"/>
                                      <w:marRight w:val="0"/>
                                      <w:marTop w:val="0"/>
                                      <w:marBottom w:val="0"/>
                                      <w:divBdr>
                                        <w:top w:val="none" w:sz="0" w:space="0" w:color="auto"/>
                                        <w:left w:val="none" w:sz="0" w:space="0" w:color="auto"/>
                                        <w:bottom w:val="none" w:sz="0" w:space="0" w:color="auto"/>
                                        <w:right w:val="none" w:sz="0" w:space="0" w:color="auto"/>
                                      </w:divBdr>
                                      <w:divsChild>
                                        <w:div w:id="1344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97466">
      <w:bodyDiv w:val="1"/>
      <w:marLeft w:val="0"/>
      <w:marRight w:val="0"/>
      <w:marTop w:val="0"/>
      <w:marBottom w:val="0"/>
      <w:divBdr>
        <w:top w:val="none" w:sz="0" w:space="0" w:color="auto"/>
        <w:left w:val="none" w:sz="0" w:space="0" w:color="auto"/>
        <w:bottom w:val="none" w:sz="0" w:space="0" w:color="auto"/>
        <w:right w:val="none" w:sz="0" w:space="0" w:color="auto"/>
      </w:divBdr>
    </w:div>
    <w:div w:id="1319268211">
      <w:bodyDiv w:val="1"/>
      <w:marLeft w:val="0"/>
      <w:marRight w:val="0"/>
      <w:marTop w:val="0"/>
      <w:marBottom w:val="0"/>
      <w:divBdr>
        <w:top w:val="none" w:sz="0" w:space="0" w:color="auto"/>
        <w:left w:val="none" w:sz="0" w:space="0" w:color="auto"/>
        <w:bottom w:val="none" w:sz="0" w:space="0" w:color="auto"/>
        <w:right w:val="none" w:sz="0" w:space="0" w:color="auto"/>
      </w:divBdr>
    </w:div>
    <w:div w:id="1353218075">
      <w:bodyDiv w:val="1"/>
      <w:marLeft w:val="0"/>
      <w:marRight w:val="0"/>
      <w:marTop w:val="0"/>
      <w:marBottom w:val="0"/>
      <w:divBdr>
        <w:top w:val="none" w:sz="0" w:space="0" w:color="auto"/>
        <w:left w:val="none" w:sz="0" w:space="0" w:color="auto"/>
        <w:bottom w:val="none" w:sz="0" w:space="0" w:color="auto"/>
        <w:right w:val="none" w:sz="0" w:space="0" w:color="auto"/>
      </w:divBdr>
    </w:div>
    <w:div w:id="1494839046">
      <w:bodyDiv w:val="1"/>
      <w:marLeft w:val="0"/>
      <w:marRight w:val="0"/>
      <w:marTop w:val="0"/>
      <w:marBottom w:val="0"/>
      <w:divBdr>
        <w:top w:val="none" w:sz="0" w:space="0" w:color="auto"/>
        <w:left w:val="none" w:sz="0" w:space="0" w:color="auto"/>
        <w:bottom w:val="none" w:sz="0" w:space="0" w:color="auto"/>
        <w:right w:val="none" w:sz="0" w:space="0" w:color="auto"/>
      </w:divBdr>
      <w:divsChild>
        <w:div w:id="21979222">
          <w:marLeft w:val="0"/>
          <w:marRight w:val="0"/>
          <w:marTop w:val="0"/>
          <w:marBottom w:val="0"/>
          <w:divBdr>
            <w:top w:val="none" w:sz="0" w:space="0" w:color="auto"/>
            <w:left w:val="none" w:sz="0" w:space="0" w:color="auto"/>
            <w:bottom w:val="none" w:sz="0" w:space="0" w:color="auto"/>
            <w:right w:val="none" w:sz="0" w:space="0" w:color="auto"/>
          </w:divBdr>
          <w:divsChild>
            <w:div w:id="1427846341">
              <w:marLeft w:val="0"/>
              <w:marRight w:val="0"/>
              <w:marTop w:val="0"/>
              <w:marBottom w:val="0"/>
              <w:divBdr>
                <w:top w:val="none" w:sz="0" w:space="0" w:color="auto"/>
                <w:left w:val="none" w:sz="0" w:space="0" w:color="auto"/>
                <w:bottom w:val="none" w:sz="0" w:space="0" w:color="auto"/>
                <w:right w:val="none" w:sz="0" w:space="0" w:color="auto"/>
              </w:divBdr>
              <w:divsChild>
                <w:div w:id="364184171">
                  <w:marLeft w:val="0"/>
                  <w:marRight w:val="0"/>
                  <w:marTop w:val="0"/>
                  <w:marBottom w:val="0"/>
                  <w:divBdr>
                    <w:top w:val="single" w:sz="18" w:space="12" w:color="974E39"/>
                    <w:left w:val="single" w:sz="18" w:space="12" w:color="974E39"/>
                    <w:bottom w:val="single" w:sz="18" w:space="12" w:color="974E39"/>
                    <w:right w:val="single" w:sz="18" w:space="12" w:color="974E39"/>
                  </w:divBdr>
                  <w:divsChild>
                    <w:div w:id="1660228513">
                      <w:marLeft w:val="0"/>
                      <w:marRight w:val="0"/>
                      <w:marTop w:val="0"/>
                      <w:marBottom w:val="0"/>
                      <w:divBdr>
                        <w:top w:val="none" w:sz="0" w:space="0" w:color="auto"/>
                        <w:left w:val="none" w:sz="0" w:space="0" w:color="auto"/>
                        <w:bottom w:val="none" w:sz="0" w:space="0" w:color="auto"/>
                        <w:right w:val="none" w:sz="0" w:space="0" w:color="auto"/>
                      </w:divBdr>
                      <w:divsChild>
                        <w:div w:id="1746953192">
                          <w:marLeft w:val="0"/>
                          <w:marRight w:val="0"/>
                          <w:marTop w:val="0"/>
                          <w:marBottom w:val="0"/>
                          <w:divBdr>
                            <w:top w:val="none" w:sz="0" w:space="0" w:color="auto"/>
                            <w:left w:val="none" w:sz="0" w:space="0" w:color="auto"/>
                            <w:bottom w:val="none" w:sz="0" w:space="0" w:color="auto"/>
                            <w:right w:val="none" w:sz="0" w:space="0" w:color="auto"/>
                          </w:divBdr>
                          <w:divsChild>
                            <w:div w:id="1988242011">
                              <w:marLeft w:val="0"/>
                              <w:marRight w:val="0"/>
                              <w:marTop w:val="0"/>
                              <w:marBottom w:val="0"/>
                              <w:divBdr>
                                <w:top w:val="single" w:sz="6" w:space="0" w:color="auto"/>
                                <w:left w:val="single" w:sz="6" w:space="0" w:color="auto"/>
                                <w:bottom w:val="single" w:sz="6" w:space="0" w:color="auto"/>
                                <w:right w:val="single" w:sz="6" w:space="0" w:color="auto"/>
                              </w:divBdr>
                              <w:divsChild>
                                <w:div w:id="830293470">
                                  <w:marLeft w:val="0"/>
                                  <w:marRight w:val="0"/>
                                  <w:marTop w:val="0"/>
                                  <w:marBottom w:val="0"/>
                                  <w:divBdr>
                                    <w:top w:val="none" w:sz="0" w:space="0" w:color="auto"/>
                                    <w:left w:val="none" w:sz="0" w:space="0" w:color="auto"/>
                                    <w:bottom w:val="none" w:sz="0" w:space="0" w:color="auto"/>
                                    <w:right w:val="none" w:sz="0" w:space="0" w:color="auto"/>
                                  </w:divBdr>
                                  <w:divsChild>
                                    <w:div w:id="2140949534">
                                      <w:marLeft w:val="0"/>
                                      <w:marRight w:val="0"/>
                                      <w:marTop w:val="0"/>
                                      <w:marBottom w:val="0"/>
                                      <w:divBdr>
                                        <w:top w:val="none" w:sz="0" w:space="0" w:color="auto"/>
                                        <w:left w:val="none" w:sz="0" w:space="0" w:color="auto"/>
                                        <w:bottom w:val="none" w:sz="0" w:space="0" w:color="auto"/>
                                        <w:right w:val="none" w:sz="0" w:space="0" w:color="auto"/>
                                      </w:divBdr>
                                      <w:divsChild>
                                        <w:div w:id="16104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94387">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1975673311">
      <w:bodyDiv w:val="1"/>
      <w:marLeft w:val="0"/>
      <w:marRight w:val="0"/>
      <w:marTop w:val="0"/>
      <w:marBottom w:val="0"/>
      <w:divBdr>
        <w:top w:val="none" w:sz="0" w:space="0" w:color="auto"/>
        <w:left w:val="none" w:sz="0" w:space="0" w:color="auto"/>
        <w:bottom w:val="none" w:sz="0" w:space="0" w:color="auto"/>
        <w:right w:val="none" w:sz="0" w:space="0" w:color="auto"/>
      </w:divBdr>
    </w:div>
    <w:div w:id="2030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www.ibo.org/" TargetMode="External"/><Relationship Id="rId39" Type="http://schemas.openxmlformats.org/officeDocument/2006/relationships/customXml" Target="../customXml/item4.xml"/><Relationship Id="rId21" Type="http://schemas.openxmlformats.org/officeDocument/2006/relationships/image" Target="media/image6.emf"/><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schoolsdirectory.eq.edu.au/" TargetMode="External"/><Relationship Id="rId17" Type="http://schemas.openxmlformats.org/officeDocument/2006/relationships/hyperlink" Target="http://www.myschool.edu.au/" TargetMode="External"/><Relationship Id="rId25" Type="http://schemas.openxmlformats.org/officeDocument/2006/relationships/hyperlink" Target="https://www.aqf.edu.au/" TargetMode="External"/><Relationship Id="rId33" Type="http://schemas.openxmlformats.org/officeDocument/2006/relationships/header" Target="header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myschool.edu.au/" TargetMode="External"/><Relationship Id="rId20" Type="http://schemas.openxmlformats.org/officeDocument/2006/relationships/image" Target="media/image5.png"/><Relationship Id="rId29" Type="http://schemas.openxmlformats.org/officeDocument/2006/relationships/header" Target="header2.xml"/><Relationship Id="rId40"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hyperlink" Target="http://data.qld.gov.au/" TargetMode="External"/><Relationship Id="rId24" Type="http://schemas.openxmlformats.org/officeDocument/2006/relationships/hyperlink" Target="https://www.qcaa.qld.edu.au/about/publications/statistics" TargetMode="External"/><Relationship Id="rId32" Type="http://schemas.openxmlformats.org/officeDocument/2006/relationships/header" Target="header4.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qed.qld.gov.au/publications/reports/statistics/schooling/schools" TargetMode="External"/><Relationship Id="rId23" Type="http://schemas.openxmlformats.org/officeDocument/2006/relationships/hyperlink" Target="http://ppr.det.qld.gov.au/education/management/Pages/Roll-Marking-in-State-Schools.aspx"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myschool.edu.au/" TargetMode="External"/><Relationship Id="rId19" Type="http://schemas.openxmlformats.org/officeDocument/2006/relationships/image" Target="media/image4.png"/><Relationship Id="rId31" Type="http://schemas.openxmlformats.org/officeDocument/2006/relationships/hyperlink" Target="http://www.cliffordparkspecs.eq.edu.au/Supportandresources/Formsanddocuments/Pages/Document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lychildhood.qld.gov.au/early-years/kindergarten-programs/kindergarten-in-indigenous-communities" TargetMode="External"/><Relationship Id="rId22" Type="http://schemas.openxmlformats.org/officeDocument/2006/relationships/hyperlink" Target="http://ppr.det.qld.gov.au/education/management/Pages/Managing-Student-Absences-and-Enforcing-Enrolment-and-Attendance-at-State-Schools.aspx" TargetMode="External"/><Relationship Id="rId27" Type="http://schemas.openxmlformats.org/officeDocument/2006/relationships/hyperlink" Target="https://qed.qld.gov.au/publications/reports/statistics/schooling/learning-outcomes/next-step"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sear1\Desktop\3087_Clifford_Park_SPEC_S_sar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fa8d03d-0fbf-4e42-b580-7740f177e926" ContentTypeId="0x010100DB407EC525CF4C5EA79E4ED7FE6B68CB" PreviousValue="false"/>
</file>

<file path=customXml/item2.xml><?xml version="1.0" encoding="utf-8"?>
<ct:contentTypeSchema xmlns:ct="http://schemas.microsoft.com/office/2006/metadata/contentType" xmlns:ma="http://schemas.microsoft.com/office/2006/metadata/properties/metaAttributes" ct:_="" ma:_="" ma:contentTypeName="Annual Report" ma:contentTypeID="0x0101005EC66A2D776CCD4C879A33B6D4315F5A00A36075A78A9C6643AD3436A0583E8F95" ma:contentTypeVersion="23" ma:contentTypeDescription="Create a new Annual Report" ma:contentTypeScope="" ma:versionID="e77550834618a0f00290dccf525b4c74">
  <xsd:schema xmlns:xsd="http://www.w3.org/2001/XMLSchema" xmlns:xs="http://www.w3.org/2001/XMLSchema" xmlns:p="http://schemas.microsoft.com/office/2006/metadata/properties" xmlns:ns2="76791620-5406-4198-86f6-9393a4b0b1d9" targetNamespace="http://schemas.microsoft.com/office/2006/metadata/properties" ma:root="true" ma:fieldsID="e74f627bab7523f63f1d501785294bf2" ns2:_="">
    <xsd:import namespace="76791620-5406-4198-86f6-9393a4b0b1d9"/>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91620-5406-4198-86f6-9393a4b0b1d9"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nualReportDate xmlns="76791620-5406-4198-86f6-9393a4b0b1d9">2019-06-11T14:00:00+00:00</AnnualReportDate>
    <PPContentAuthor xmlns="76791620-5406-4198-86f6-9393a4b0b1d9">
      <UserInfo>
        <DisplayName/>
        <AccountId xsi:nil="true"/>
        <AccountType/>
      </UserInfo>
    </PPContentAuthor>
    <PPModeratedDate xmlns="76791620-5406-4198-86f6-9393a4b0b1d9" xsi:nil="true"/>
    <PPContentApprover xmlns="76791620-5406-4198-86f6-9393a4b0b1d9">
      <UserInfo>
        <DisplayName/>
        <AccountId xsi:nil="true"/>
        <AccountType/>
      </UserInfo>
    </PPContentApprover>
    <PPContentOwner xmlns="76791620-5406-4198-86f6-9393a4b0b1d9">
      <UserInfo>
        <DisplayName/>
        <AccountId xsi:nil="true"/>
        <AccountType/>
      </UserInfo>
    </PPContentOwner>
    <PPModeratedBy xmlns="76791620-5406-4198-86f6-9393a4b0b1d9">
      <UserInfo>
        <DisplayName/>
        <AccountId xsi:nil="true"/>
        <AccountType/>
      </UserInfo>
    </PPModeratedBy>
    <PPReviewDate xmlns="76791620-5406-4198-86f6-9393a4b0b1d9" xsi:nil="true"/>
    <PPReferenceNumber xmlns="76791620-5406-4198-86f6-9393a4b0b1d9" xsi:nil="true"/>
    <PPLastReviewedDate xmlns="76791620-5406-4198-86f6-9393a4b0b1d9" xsi:nil="true"/>
    <PPLastReviewedBy xmlns="76791620-5406-4198-86f6-9393a4b0b1d9">
      <UserInfo>
        <DisplayName/>
        <AccountId xsi:nil="true"/>
        <AccountType/>
      </UserInfo>
    </PPLastReviewedBy>
    <PPSubmittedBy xmlns="76791620-5406-4198-86f6-9393a4b0b1d9">
      <UserInfo>
        <DisplayName/>
        <AccountId xsi:nil="true"/>
        <AccountType/>
      </UserInfo>
    </PPSubmittedBy>
    <PPSubmittedDate xmlns="76791620-5406-4198-86f6-9393a4b0b1d9" xsi:nil="true"/>
    <PPPublishedNotificationAddresses xmlns="76791620-5406-4198-86f6-9393a4b0b1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38159-8A77-4AA1-B16C-D25558275EB4}"/>
</file>

<file path=customXml/itemProps2.xml><?xml version="1.0" encoding="utf-8"?>
<ds:datastoreItem xmlns:ds="http://schemas.openxmlformats.org/officeDocument/2006/customXml" ds:itemID="{84EF0189-6107-483C-BB0F-7F51F3909BBD}"/>
</file>

<file path=customXml/itemProps3.xml><?xml version="1.0" encoding="utf-8"?>
<ds:datastoreItem xmlns:ds="http://schemas.openxmlformats.org/officeDocument/2006/customXml" ds:itemID="{8B14408C-3626-441C-BD51-6D2EE5D6CFF0}"/>
</file>

<file path=customXml/itemProps4.xml><?xml version="1.0" encoding="utf-8"?>
<ds:datastoreItem xmlns:ds="http://schemas.openxmlformats.org/officeDocument/2006/customXml" ds:itemID="{1AB6302C-B676-42BF-BD53-DC0F0AD573A9}"/>
</file>

<file path=customXml/itemProps5.xml><?xml version="1.0" encoding="utf-8"?>
<ds:datastoreItem xmlns:ds="http://schemas.openxmlformats.org/officeDocument/2006/customXml" ds:itemID="{C9B148E9-7E22-4E31-9593-BB97EB4DEBF0}"/>
</file>

<file path=docProps/app.xml><?xml version="1.0" encoding="utf-8"?>
<Properties xmlns="http://schemas.openxmlformats.org/officeDocument/2006/extended-properties" xmlns:vt="http://schemas.openxmlformats.org/officeDocument/2006/docPropsVTypes">
  <Template>3087_Clifford_Park_SPEC_S_sar2018.dot</Template>
  <TotalTime>1</TotalTime>
  <Pages>17</Pages>
  <Words>7452</Words>
  <Characters>42479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49832</CharactersWithSpaces>
  <SharedDoc>false</SharedDoc>
  <HLinks>
    <vt:vector size="126" baseType="variant">
      <vt:variant>
        <vt:i4>4718679</vt:i4>
      </vt:variant>
      <vt:variant>
        <vt:i4>60</vt:i4>
      </vt:variant>
      <vt:variant>
        <vt:i4>0</vt:i4>
      </vt:variant>
      <vt:variant>
        <vt:i4>5</vt:i4>
      </vt:variant>
      <vt:variant>
        <vt:lpwstr>http://www.cliffordparkspecs.eq.edu.au/Supportandresources/Formsanddocuments/Pages/Documents.aspx</vt:lpwstr>
      </vt:variant>
      <vt:variant>
        <vt:lpwstr/>
      </vt:variant>
      <vt:variant>
        <vt:i4>4325401</vt:i4>
      </vt:variant>
      <vt:variant>
        <vt:i4>57</vt:i4>
      </vt:variant>
      <vt:variant>
        <vt:i4>0</vt:i4>
      </vt:variant>
      <vt:variant>
        <vt:i4>5</vt:i4>
      </vt:variant>
      <vt:variant>
        <vt:lpwstr>https://wfshelp.eq.edu.au/Pages/Home.aspx</vt:lpwstr>
      </vt:variant>
      <vt:variant>
        <vt:lpwstr/>
      </vt:variant>
      <vt:variant>
        <vt:i4>4915276</vt:i4>
      </vt:variant>
      <vt:variant>
        <vt:i4>54</vt:i4>
      </vt:variant>
      <vt:variant>
        <vt:i4>0</vt:i4>
      </vt:variant>
      <vt:variant>
        <vt:i4>5</vt:i4>
      </vt:variant>
      <vt:variant>
        <vt:lpwstr>https://qed.qld.gov.au/publications/reports/statistics/schooling/learning-outcomes/next-step</vt:lpwstr>
      </vt:variant>
      <vt:variant>
        <vt:lpwstr/>
      </vt:variant>
      <vt:variant>
        <vt:i4>5832782</vt:i4>
      </vt:variant>
      <vt:variant>
        <vt:i4>51</vt:i4>
      </vt:variant>
      <vt:variant>
        <vt:i4>0</vt:i4>
      </vt:variant>
      <vt:variant>
        <vt:i4>5</vt:i4>
      </vt:variant>
      <vt:variant>
        <vt:lpwstr>https://www.ibo.org/</vt:lpwstr>
      </vt:variant>
      <vt:variant>
        <vt:lpwstr/>
      </vt:variant>
      <vt:variant>
        <vt:i4>2621494</vt:i4>
      </vt:variant>
      <vt:variant>
        <vt:i4>48</vt:i4>
      </vt:variant>
      <vt:variant>
        <vt:i4>0</vt:i4>
      </vt:variant>
      <vt:variant>
        <vt:i4>5</vt:i4>
      </vt:variant>
      <vt:variant>
        <vt:lpwstr>https://www.aqf.edu.au/</vt:lpwstr>
      </vt:variant>
      <vt:variant>
        <vt:lpwstr/>
      </vt:variant>
      <vt:variant>
        <vt:i4>4653137</vt:i4>
      </vt:variant>
      <vt:variant>
        <vt:i4>45</vt:i4>
      </vt:variant>
      <vt:variant>
        <vt:i4>0</vt:i4>
      </vt:variant>
      <vt:variant>
        <vt:i4>5</vt:i4>
      </vt:variant>
      <vt:variant>
        <vt:lpwstr>https://www.qcaa.qld.edu.au/about/publications/statistics</vt:lpwstr>
      </vt:variant>
      <vt:variant>
        <vt:lpwstr/>
      </vt:variant>
      <vt:variant>
        <vt:i4>524383</vt:i4>
      </vt:variant>
      <vt:variant>
        <vt:i4>42</vt:i4>
      </vt:variant>
      <vt:variant>
        <vt:i4>0</vt:i4>
      </vt:variant>
      <vt:variant>
        <vt:i4>5</vt:i4>
      </vt:variant>
      <vt:variant>
        <vt:lpwstr>http://www.nap.edu.au/naplan</vt:lpwstr>
      </vt:variant>
      <vt:variant>
        <vt:lpwstr/>
      </vt:variant>
      <vt:variant>
        <vt:i4>2293816</vt:i4>
      </vt:variant>
      <vt:variant>
        <vt:i4>39</vt:i4>
      </vt:variant>
      <vt:variant>
        <vt:i4>0</vt:i4>
      </vt:variant>
      <vt:variant>
        <vt:i4>5</vt:i4>
      </vt:variant>
      <vt:variant>
        <vt:lpwstr>http://www.myschool.edu.au/</vt:lpwstr>
      </vt:variant>
      <vt:variant>
        <vt:lpwstr/>
      </vt:variant>
      <vt:variant>
        <vt:i4>2293816</vt:i4>
      </vt:variant>
      <vt:variant>
        <vt:i4>36</vt:i4>
      </vt:variant>
      <vt:variant>
        <vt:i4>0</vt:i4>
      </vt:variant>
      <vt:variant>
        <vt:i4>5</vt:i4>
      </vt:variant>
      <vt:variant>
        <vt:lpwstr>http://www.myschool.edu.au/</vt:lpwstr>
      </vt:variant>
      <vt:variant>
        <vt:lpwstr/>
      </vt:variant>
      <vt:variant>
        <vt:i4>2424889</vt:i4>
      </vt:variant>
      <vt:variant>
        <vt:i4>33</vt:i4>
      </vt:variant>
      <vt:variant>
        <vt:i4>0</vt:i4>
      </vt:variant>
      <vt:variant>
        <vt:i4>5</vt:i4>
      </vt:variant>
      <vt:variant>
        <vt:lpwstr>http://ppr.det.qld.gov.au/education/management/Pages/Roll-Marking-in-State-Schools.aspx</vt:lpwstr>
      </vt:variant>
      <vt:variant>
        <vt:lpwstr/>
      </vt:variant>
      <vt:variant>
        <vt:i4>6750334</vt:i4>
      </vt:variant>
      <vt:variant>
        <vt:i4>30</vt:i4>
      </vt:variant>
      <vt:variant>
        <vt:i4>0</vt:i4>
      </vt:variant>
      <vt:variant>
        <vt:i4>5</vt:i4>
      </vt:variant>
      <vt:variant>
        <vt:lpwstr>http://ppr.det.qld.gov.au/education/management/Pages/Managing-Student-Absences-and-Enforcing-Enrolment-and-Attendance-at-State-Schools.aspx</vt:lpwstr>
      </vt:variant>
      <vt:variant>
        <vt:lpwstr/>
      </vt:variant>
      <vt:variant>
        <vt:i4>2293816</vt:i4>
      </vt:variant>
      <vt:variant>
        <vt:i4>27</vt:i4>
      </vt:variant>
      <vt:variant>
        <vt:i4>0</vt:i4>
      </vt:variant>
      <vt:variant>
        <vt:i4>5</vt:i4>
      </vt:variant>
      <vt:variant>
        <vt:lpwstr>http://www.myschool.edu.au/</vt:lpwstr>
      </vt:variant>
      <vt:variant>
        <vt:lpwstr/>
      </vt:variant>
      <vt:variant>
        <vt:i4>2293816</vt:i4>
      </vt:variant>
      <vt:variant>
        <vt:i4>24</vt:i4>
      </vt:variant>
      <vt:variant>
        <vt:i4>0</vt:i4>
      </vt:variant>
      <vt:variant>
        <vt:i4>5</vt:i4>
      </vt:variant>
      <vt:variant>
        <vt:lpwstr>http://www.myschool.edu.au/</vt:lpwstr>
      </vt:variant>
      <vt:variant>
        <vt:lpwstr/>
      </vt:variant>
      <vt:variant>
        <vt:i4>5963788</vt:i4>
      </vt:variant>
      <vt:variant>
        <vt:i4>21</vt:i4>
      </vt:variant>
      <vt:variant>
        <vt:i4>0</vt:i4>
      </vt:variant>
      <vt:variant>
        <vt:i4>5</vt:i4>
      </vt:variant>
      <vt:variant>
        <vt:lpwstr>https://qed.qld.gov.au/publications/reports/statistics/schooling/schools</vt:lpwstr>
      </vt:variant>
      <vt:variant>
        <vt:lpwstr/>
      </vt:variant>
      <vt:variant>
        <vt:i4>3539000</vt:i4>
      </vt:variant>
      <vt:variant>
        <vt:i4>18</vt:i4>
      </vt:variant>
      <vt:variant>
        <vt:i4>0</vt:i4>
      </vt:variant>
      <vt:variant>
        <vt:i4>5</vt:i4>
      </vt:variant>
      <vt:variant>
        <vt:lpwstr>https://earlychildhood.qld.gov.au/early-years/kindergarten-programs/kindergarten-in-indigenous-communities</vt:lpwstr>
      </vt:variant>
      <vt:variant>
        <vt:lpwstr/>
      </vt:variant>
      <vt:variant>
        <vt:i4>393225</vt:i4>
      </vt:variant>
      <vt:variant>
        <vt:i4>15</vt:i4>
      </vt:variant>
      <vt:variant>
        <vt:i4>0</vt:i4>
      </vt:variant>
      <vt:variant>
        <vt:i4>5</vt:i4>
      </vt:variant>
      <vt:variant>
        <vt:lpwstr>https://myschool.edu.au/more-information/information-for-principals-and-teachers/using-the-principals-portal</vt:lpwstr>
      </vt:variant>
      <vt:variant>
        <vt:lpwstr/>
      </vt:variant>
      <vt:variant>
        <vt:i4>5505031</vt:i4>
      </vt:variant>
      <vt:variant>
        <vt:i4>12</vt:i4>
      </vt:variant>
      <vt:variant>
        <vt:i4>0</vt:i4>
      </vt:variant>
      <vt:variant>
        <vt:i4>5</vt:i4>
      </vt:variant>
      <vt:variant>
        <vt:lpwstr>https://myschool.edu.au/principals/login</vt:lpwstr>
      </vt:variant>
      <vt:variant>
        <vt:lpwstr/>
      </vt:variant>
      <vt:variant>
        <vt:i4>6684771</vt:i4>
      </vt:variant>
      <vt:variant>
        <vt:i4>9</vt:i4>
      </vt:variant>
      <vt:variant>
        <vt:i4>0</vt:i4>
      </vt:variant>
      <vt:variant>
        <vt:i4>5</vt:i4>
      </vt:variant>
      <vt:variant>
        <vt:lpwstr>https://schoolsdirectory.eq.edu.au/</vt:lpwstr>
      </vt:variant>
      <vt:variant>
        <vt:lpwstr/>
      </vt:variant>
      <vt:variant>
        <vt:i4>6488172</vt:i4>
      </vt:variant>
      <vt:variant>
        <vt:i4>6</vt:i4>
      </vt:variant>
      <vt:variant>
        <vt:i4>0</vt:i4>
      </vt:variant>
      <vt:variant>
        <vt:i4>5</vt:i4>
      </vt:variant>
      <vt:variant>
        <vt:lpwstr>http://data.qld.gov.au/</vt:lpwstr>
      </vt:variant>
      <vt:variant>
        <vt:lpwstr/>
      </vt:variant>
      <vt:variant>
        <vt:i4>2293816</vt:i4>
      </vt:variant>
      <vt:variant>
        <vt:i4>3</vt:i4>
      </vt:variant>
      <vt:variant>
        <vt:i4>0</vt:i4>
      </vt:variant>
      <vt:variant>
        <vt:i4>5</vt:i4>
      </vt:variant>
      <vt:variant>
        <vt:lpwstr>http://www.myschool.edu.au/</vt:lpwstr>
      </vt:variant>
      <vt:variant>
        <vt:lpwstr/>
      </vt:variant>
      <vt:variant>
        <vt:i4>4128807</vt:i4>
      </vt:variant>
      <vt:variant>
        <vt:i4>0</vt:i4>
      </vt:variant>
      <vt:variant>
        <vt:i4>0</vt:i4>
      </vt:variant>
      <vt:variant>
        <vt:i4>5</vt:i4>
      </vt:variant>
      <vt:variant>
        <vt:lpwstr>https://wfsportal.eq.edu.au/pages-and-documents/annual-report/uploading-annual-reports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Annual Report 2018</dc:title>
  <dc:subject/>
  <dc:creator>SEARCHFIELD, Corina</dc:creator>
  <cp:keywords/>
  <cp:lastModifiedBy>SEARCHFIELD, Corina (csear1)</cp:lastModifiedBy>
  <cp:revision>2</cp:revision>
  <cp:lastPrinted>2019-06-11T21:03:00Z</cp:lastPrinted>
  <dcterms:created xsi:type="dcterms:W3CDTF">2019-06-11T21:07:00Z</dcterms:created>
  <dcterms:modified xsi:type="dcterms:W3CDTF">2019-06-11T21:07:00Z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0x0101005EC66A2D776CCD4C879A33B6D4315F5A00A36075A78A9C6643AD3436A0583E8F95</vt:lpwstr>
  </property>
</Properties>
</file>